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AC6" w:rsidRPr="003B4E3F" w:rsidRDefault="00951A71" w:rsidP="00951A71">
      <w:pPr>
        <w:widowControl/>
        <w:autoSpaceDE/>
        <w:autoSpaceDN/>
        <w:adjustRightInd/>
        <w:jc w:val="left"/>
        <w:rPr>
          <w:rFonts w:cs="Arial"/>
          <w:sz w:val="20"/>
        </w:rPr>
      </w:pPr>
      <w:bookmarkStart w:id="0" w:name="_GoBack"/>
      <w:bookmarkEnd w:id="0"/>
      <w:r w:rsidRPr="003B4E3F">
        <w:rPr>
          <w:rFonts w:cs="Arial"/>
          <w:sz w:val="20"/>
        </w:rPr>
        <w:t xml:space="preserve">         </w:t>
      </w:r>
    </w:p>
    <w:p w:rsidR="00951A71" w:rsidRPr="003B4E3F" w:rsidRDefault="00951A71" w:rsidP="00951A71">
      <w:pPr>
        <w:widowControl/>
        <w:autoSpaceDE/>
        <w:autoSpaceDN/>
        <w:adjustRightInd/>
        <w:jc w:val="left"/>
        <w:rPr>
          <w:rFonts w:cs="Arial"/>
          <w:bCs/>
        </w:rPr>
      </w:pPr>
      <w:r w:rsidRPr="003B4E3F">
        <w:rPr>
          <w:rFonts w:cs="Arial"/>
          <w:sz w:val="20"/>
        </w:rPr>
        <w:t xml:space="preserve">   </w:t>
      </w:r>
      <w:r w:rsidR="00CE4AC6" w:rsidRPr="003B4E3F">
        <w:rPr>
          <w:rFonts w:cs="Arial"/>
          <w:sz w:val="20"/>
        </w:rPr>
        <w:t xml:space="preserve">          </w:t>
      </w:r>
      <w:r w:rsidRPr="003B4E3F">
        <w:rPr>
          <w:rFonts w:cs="Arial"/>
          <w:sz w:val="20"/>
        </w:rPr>
        <w:t xml:space="preserve">      </w:t>
      </w:r>
      <w:r w:rsidRPr="003B4E3F">
        <w:rPr>
          <w:rFonts w:cs="Arial"/>
          <w:noProof/>
          <w:sz w:val="20"/>
        </w:rPr>
        <w:drawing>
          <wp:inline distT="0" distB="0" distL="0" distR="0" wp14:anchorId="5B208D17" wp14:editId="0AD19AB4">
            <wp:extent cx="466725" cy="800100"/>
            <wp:effectExtent l="0" t="0" r="9525" b="0"/>
            <wp:docPr id="1" name="Slik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1"/>
                    <pic:cNvPicPr>
                      <a:picLocks noChangeArrowheads="1"/>
                    </pic:cNvPicPr>
                  </pic:nvPicPr>
                  <pic:blipFill>
                    <a:blip r:embed="rId8" cstate="print">
                      <a:extLst>
                        <a:ext uri="{28A0092B-C50C-407E-A947-70E740481C1C}">
                          <a14:useLocalDpi xmlns:a14="http://schemas.microsoft.com/office/drawing/2010/main" val="0"/>
                        </a:ext>
                      </a:extLst>
                    </a:blip>
                    <a:srcRect l="-4411" t="-20859" r="-4411" b="-20859"/>
                    <a:stretch>
                      <a:fillRect/>
                    </a:stretch>
                  </pic:blipFill>
                  <pic:spPr bwMode="auto">
                    <a:xfrm>
                      <a:off x="0" y="0"/>
                      <a:ext cx="466725" cy="800100"/>
                    </a:xfrm>
                    <a:prstGeom prst="rect">
                      <a:avLst/>
                    </a:prstGeom>
                    <a:noFill/>
                    <a:ln>
                      <a:noFill/>
                    </a:ln>
                  </pic:spPr>
                </pic:pic>
              </a:graphicData>
            </a:graphic>
          </wp:inline>
        </w:drawing>
      </w:r>
    </w:p>
    <w:p w:rsidR="00951A71" w:rsidRPr="003B4E3F" w:rsidRDefault="00951A71" w:rsidP="00951A71">
      <w:pPr>
        <w:widowControl/>
        <w:autoSpaceDE/>
        <w:autoSpaceDN/>
        <w:adjustRightInd/>
        <w:jc w:val="left"/>
        <w:rPr>
          <w:rFonts w:cs="Arial"/>
          <w:bCs/>
        </w:rPr>
      </w:pPr>
      <w:r w:rsidRPr="003B4E3F">
        <w:rPr>
          <w:rFonts w:cs="Arial"/>
          <w:bCs/>
        </w:rPr>
        <w:t>REPUBLIKA HRVATSKA</w:t>
      </w:r>
    </w:p>
    <w:p w:rsidR="00951A71" w:rsidRPr="003B4E3F" w:rsidRDefault="00951A71" w:rsidP="00951A71">
      <w:pPr>
        <w:widowControl/>
        <w:pBdr>
          <w:bottom w:val="single" w:sz="4" w:space="1" w:color="auto"/>
        </w:pBdr>
        <w:autoSpaceDE/>
        <w:autoSpaceDN/>
        <w:adjustRightInd/>
        <w:rPr>
          <w:rFonts w:cs="Arial"/>
          <w:bCs/>
          <w:szCs w:val="20"/>
        </w:rPr>
      </w:pPr>
      <w:r w:rsidRPr="003B4E3F">
        <w:rPr>
          <w:rFonts w:cs="Arial"/>
          <w:bCs/>
          <w:szCs w:val="20"/>
        </w:rPr>
        <w:t>DRŽAVNI URED ZA REVIZIJU</w:t>
      </w:r>
    </w:p>
    <w:p w:rsidR="00A475FB" w:rsidRPr="003B4E3F" w:rsidRDefault="00A475FB" w:rsidP="00A475FB">
      <w:pPr>
        <w:tabs>
          <w:tab w:val="left" w:pos="284"/>
          <w:tab w:val="left" w:pos="567"/>
          <w:tab w:val="left" w:pos="851"/>
        </w:tabs>
      </w:pPr>
      <w:r w:rsidRPr="003B4E3F">
        <w:t>KLASA: 0</w:t>
      </w:r>
      <w:r w:rsidR="00DF1F60" w:rsidRPr="003B4E3F">
        <w:t>08</w:t>
      </w:r>
      <w:r w:rsidRPr="003B4E3F">
        <w:t>-01/2</w:t>
      </w:r>
      <w:r w:rsidR="00A22E43">
        <w:t>5</w:t>
      </w:r>
      <w:r w:rsidRPr="003B4E3F">
        <w:t>-0</w:t>
      </w:r>
      <w:r w:rsidR="00B96D52" w:rsidRPr="003B4E3F">
        <w:t>4</w:t>
      </w:r>
      <w:r w:rsidRPr="003B4E3F">
        <w:t>/1</w:t>
      </w:r>
    </w:p>
    <w:p w:rsidR="00A475FB" w:rsidRPr="003B4E3F" w:rsidRDefault="00A475FB" w:rsidP="00A475FB">
      <w:pPr>
        <w:tabs>
          <w:tab w:val="left" w:pos="284"/>
          <w:tab w:val="left" w:pos="567"/>
          <w:tab w:val="left" w:pos="851"/>
        </w:tabs>
      </w:pPr>
      <w:r w:rsidRPr="003B4E3F">
        <w:t>URBROJ: 613-01</w:t>
      </w:r>
      <w:r w:rsidR="00085208">
        <w:t>/10</w:t>
      </w:r>
      <w:r w:rsidRPr="003B4E3F">
        <w:t>-</w:t>
      </w:r>
      <w:r w:rsidR="00085208">
        <w:t>2</w:t>
      </w:r>
      <w:r w:rsidR="00A22E43">
        <w:t>5</w:t>
      </w:r>
      <w:r w:rsidR="00085208">
        <w:t>-</w:t>
      </w:r>
      <w:r w:rsidR="00A22E43">
        <w:t>4</w:t>
      </w:r>
    </w:p>
    <w:p w:rsidR="00A475FB" w:rsidRPr="003B4E3F" w:rsidRDefault="00A475FB" w:rsidP="00A475FB">
      <w:pPr>
        <w:tabs>
          <w:tab w:val="left" w:pos="284"/>
          <w:tab w:val="left" w:pos="567"/>
          <w:tab w:val="left" w:pos="851"/>
        </w:tabs>
      </w:pPr>
    </w:p>
    <w:p w:rsidR="00A475FB" w:rsidRPr="003B4E3F" w:rsidRDefault="00A475FB" w:rsidP="00A475FB">
      <w:pPr>
        <w:tabs>
          <w:tab w:val="left" w:pos="284"/>
          <w:tab w:val="left" w:pos="567"/>
          <w:tab w:val="left" w:pos="851"/>
        </w:tabs>
      </w:pPr>
      <w:r w:rsidRPr="003B4E3F">
        <w:t xml:space="preserve">Zagreb, </w:t>
      </w:r>
      <w:r w:rsidR="009A52CE">
        <w:t>13</w:t>
      </w:r>
      <w:r w:rsidRPr="003B4E3F">
        <w:t xml:space="preserve">. </w:t>
      </w:r>
      <w:r w:rsidR="0065129A">
        <w:t>lipnja</w:t>
      </w:r>
      <w:r w:rsidRPr="003B4E3F">
        <w:t xml:space="preserve"> 202</w:t>
      </w:r>
      <w:r w:rsidR="009A52CE">
        <w:t>5</w:t>
      </w:r>
      <w:r w:rsidRPr="003B4E3F">
        <w:t>.</w:t>
      </w:r>
    </w:p>
    <w:p w:rsidR="00A475FB" w:rsidRPr="003B4E3F" w:rsidRDefault="00A475FB" w:rsidP="00A475FB">
      <w:pPr>
        <w:tabs>
          <w:tab w:val="left" w:pos="284"/>
          <w:tab w:val="left" w:pos="567"/>
          <w:tab w:val="left" w:pos="851"/>
        </w:tabs>
      </w:pPr>
    </w:p>
    <w:p w:rsidR="0030749A" w:rsidRPr="003B4E3F" w:rsidRDefault="0030749A"/>
    <w:p w:rsidR="00951A71" w:rsidRPr="003B4E3F" w:rsidRDefault="0030749A">
      <w:r w:rsidRPr="003B4E3F">
        <w:tab/>
      </w:r>
      <w:r w:rsidRPr="003B4E3F">
        <w:tab/>
      </w:r>
      <w:r w:rsidRPr="003B4E3F">
        <w:tab/>
      </w:r>
      <w:r w:rsidRPr="003B4E3F">
        <w:tab/>
      </w:r>
      <w:r w:rsidRPr="003B4E3F">
        <w:tab/>
      </w:r>
      <w:r w:rsidR="00951A71" w:rsidRPr="003B4E3F">
        <w:tab/>
      </w:r>
      <w:r w:rsidR="00951A71" w:rsidRPr="003B4E3F">
        <w:tab/>
      </w:r>
      <w:r w:rsidR="00951A71" w:rsidRPr="003B4E3F">
        <w:tab/>
      </w:r>
      <w:r w:rsidR="00951A71" w:rsidRPr="003B4E3F">
        <w:tab/>
      </w:r>
      <w:r w:rsidR="00951A71" w:rsidRPr="003B4E3F">
        <w:tab/>
      </w:r>
      <w:r w:rsidR="001C2236" w:rsidRPr="003B4E3F">
        <w:t>–</w:t>
      </w:r>
      <w:r w:rsidR="00951A71" w:rsidRPr="003B4E3F">
        <w:t xml:space="preserve"> za objavu, odmah </w:t>
      </w:r>
      <w:r w:rsidR="001C2236" w:rsidRPr="003B4E3F">
        <w:t>–</w:t>
      </w:r>
    </w:p>
    <w:p w:rsidR="00951A71" w:rsidRPr="003B4E3F" w:rsidRDefault="00951A71"/>
    <w:p w:rsidR="0030749A" w:rsidRPr="003B4E3F" w:rsidRDefault="0030749A"/>
    <w:p w:rsidR="00951A71" w:rsidRPr="003B4E3F" w:rsidRDefault="00A87482" w:rsidP="00951A71">
      <w:pPr>
        <w:jc w:val="center"/>
      </w:pPr>
      <w:r w:rsidRPr="003B4E3F">
        <w:t>PRIOPĆENJE ZA MEDIJE</w:t>
      </w:r>
    </w:p>
    <w:p w:rsidR="00951A71" w:rsidRPr="003B4E3F" w:rsidRDefault="00951A71" w:rsidP="00951A71">
      <w:pPr>
        <w:jc w:val="center"/>
      </w:pPr>
    </w:p>
    <w:p w:rsidR="00951A71" w:rsidRPr="003B4E3F" w:rsidRDefault="00951A71" w:rsidP="00951A71">
      <w:pPr>
        <w:jc w:val="center"/>
        <w:rPr>
          <w:b/>
        </w:rPr>
      </w:pPr>
      <w:r w:rsidRPr="003B4E3F">
        <w:rPr>
          <w:b/>
        </w:rPr>
        <w:t>DOSTAVA IZVJEŠĆA HRVATSKOM SABORU</w:t>
      </w:r>
    </w:p>
    <w:p w:rsidR="00951A71" w:rsidRPr="003B4E3F" w:rsidRDefault="00951A71" w:rsidP="00951A71">
      <w:pPr>
        <w:jc w:val="center"/>
      </w:pPr>
    </w:p>
    <w:p w:rsidR="00951A71" w:rsidRPr="003B4E3F" w:rsidRDefault="00951A71" w:rsidP="00951A71"/>
    <w:p w:rsidR="009829EA" w:rsidRDefault="00951A71" w:rsidP="000D06C9">
      <w:pPr>
        <w:tabs>
          <w:tab w:val="left" w:pos="567"/>
        </w:tabs>
      </w:pPr>
      <w:r w:rsidRPr="003B4E3F">
        <w:tab/>
        <w:t xml:space="preserve">Državni ured za reviziju </w:t>
      </w:r>
      <w:r w:rsidR="00EE4F46" w:rsidRPr="003B4E3F">
        <w:t xml:space="preserve">(dalje u tekstu: Ured) </w:t>
      </w:r>
      <w:r w:rsidRPr="003B4E3F">
        <w:t xml:space="preserve">je </w:t>
      </w:r>
      <w:r w:rsidR="0065129A">
        <w:t>1</w:t>
      </w:r>
      <w:r w:rsidR="00A22E43">
        <w:t>3</w:t>
      </w:r>
      <w:r w:rsidR="00310DC0" w:rsidRPr="003B4E3F">
        <w:t xml:space="preserve">. </w:t>
      </w:r>
      <w:r w:rsidR="0065129A">
        <w:t>lipnja</w:t>
      </w:r>
      <w:r w:rsidR="00D1646C" w:rsidRPr="003B4E3F">
        <w:t xml:space="preserve"> </w:t>
      </w:r>
      <w:r w:rsidRPr="003B4E3F">
        <w:t>20</w:t>
      </w:r>
      <w:r w:rsidR="00085208">
        <w:t>2</w:t>
      </w:r>
      <w:r w:rsidR="00A22E43">
        <w:t>5</w:t>
      </w:r>
      <w:r w:rsidRPr="003B4E3F">
        <w:t xml:space="preserve">. dostavio </w:t>
      </w:r>
      <w:r w:rsidRPr="003B4E3F">
        <w:rPr>
          <w:b/>
        </w:rPr>
        <w:t>Hrvatskom saboru</w:t>
      </w:r>
      <w:r w:rsidR="00310DC0" w:rsidRPr="003B4E3F">
        <w:t>:</w:t>
      </w:r>
    </w:p>
    <w:p w:rsidR="0065129A" w:rsidRDefault="0065129A" w:rsidP="000D06C9">
      <w:pPr>
        <w:tabs>
          <w:tab w:val="left" w:pos="567"/>
        </w:tabs>
      </w:pPr>
    </w:p>
    <w:p w:rsidR="0065129A" w:rsidRPr="0065129A" w:rsidRDefault="0065129A" w:rsidP="0065129A">
      <w:pPr>
        <w:widowControl/>
        <w:autoSpaceDE/>
        <w:autoSpaceDN/>
        <w:adjustRightInd/>
        <w:ind w:left="567" w:hanging="567"/>
        <w:rPr>
          <w:rFonts w:cs="Arial"/>
          <w:b/>
          <w:lang w:eastAsia="en-US"/>
        </w:rPr>
      </w:pPr>
      <w:r w:rsidRPr="0065129A">
        <w:rPr>
          <w:rFonts w:ascii="Times New Roman" w:hAnsi="Times New Roman"/>
          <w:lang w:eastAsia="en-US"/>
        </w:rPr>
        <w:t>–</w:t>
      </w:r>
      <w:r w:rsidRPr="0065129A">
        <w:rPr>
          <w:rFonts w:ascii="Times New Roman" w:hAnsi="Times New Roman"/>
          <w:b/>
          <w:lang w:eastAsia="en-US"/>
        </w:rPr>
        <w:tab/>
      </w:r>
      <w:r w:rsidRPr="0065129A">
        <w:rPr>
          <w:rFonts w:cs="Arial"/>
          <w:b/>
          <w:lang w:eastAsia="en-US"/>
        </w:rPr>
        <w:t>Izvješće o obavljenoj reviziji Godišnjeg izvještaja o izvršenju Državnog proračuna Republike Hrvatske za 202</w:t>
      </w:r>
      <w:r w:rsidR="00A22E43">
        <w:rPr>
          <w:rFonts w:cs="Arial"/>
          <w:b/>
          <w:lang w:eastAsia="en-US"/>
        </w:rPr>
        <w:t>4</w:t>
      </w:r>
      <w:r w:rsidRPr="0065129A">
        <w:rPr>
          <w:rFonts w:cs="Arial"/>
          <w:b/>
          <w:lang w:eastAsia="en-US"/>
        </w:rPr>
        <w:t>.</w:t>
      </w:r>
      <w:r w:rsidR="009F4237">
        <w:rPr>
          <w:rFonts w:cs="Arial"/>
          <w:b/>
          <w:lang w:eastAsia="en-US"/>
        </w:rPr>
        <w:t xml:space="preserve"> godinu</w:t>
      </w:r>
    </w:p>
    <w:p w:rsidR="0065129A" w:rsidRPr="0065129A" w:rsidRDefault="0065129A" w:rsidP="0065129A">
      <w:pPr>
        <w:widowControl/>
        <w:autoSpaceDE/>
        <w:autoSpaceDN/>
        <w:adjustRightInd/>
        <w:ind w:left="567" w:hanging="567"/>
        <w:rPr>
          <w:rFonts w:cs="Arial"/>
          <w:b/>
          <w:lang w:eastAsia="en-US"/>
        </w:rPr>
      </w:pPr>
    </w:p>
    <w:p w:rsidR="00085208" w:rsidRPr="00572A01" w:rsidRDefault="0065129A" w:rsidP="00085208">
      <w:pPr>
        <w:widowControl/>
        <w:tabs>
          <w:tab w:val="left" w:pos="567"/>
          <w:tab w:val="left" w:pos="993"/>
        </w:tabs>
        <w:autoSpaceDE/>
        <w:autoSpaceDN/>
        <w:adjustRightInd/>
        <w:ind w:left="567" w:hanging="567"/>
        <w:rPr>
          <w:rFonts w:cs="Arial"/>
          <w:lang w:eastAsia="en-US"/>
        </w:rPr>
      </w:pPr>
      <w:r w:rsidRPr="0065129A">
        <w:rPr>
          <w:rFonts w:cs="Arial"/>
          <w:lang w:eastAsia="en-US"/>
        </w:rPr>
        <w:t>–</w:t>
      </w:r>
      <w:r w:rsidRPr="0065129A">
        <w:rPr>
          <w:rFonts w:cs="Arial"/>
          <w:lang w:eastAsia="en-US"/>
        </w:rPr>
        <w:tab/>
      </w:r>
      <w:r w:rsidR="004F0024">
        <w:rPr>
          <w:rFonts w:cs="Arial"/>
          <w:lang w:eastAsia="en-US"/>
        </w:rPr>
        <w:t xml:space="preserve">te </w:t>
      </w:r>
      <w:r w:rsidR="00A22E43">
        <w:rPr>
          <w:rFonts w:cs="Arial"/>
          <w:b/>
          <w:lang w:eastAsia="en-US"/>
        </w:rPr>
        <w:t>devet</w:t>
      </w:r>
      <w:r w:rsidR="00085208" w:rsidRPr="00085208">
        <w:rPr>
          <w:rFonts w:cs="Arial"/>
          <w:b/>
          <w:lang w:eastAsia="en-US"/>
        </w:rPr>
        <w:t xml:space="preserve"> izvješća</w:t>
      </w:r>
      <w:r w:rsidR="00085208" w:rsidRPr="00085208">
        <w:rPr>
          <w:rFonts w:cs="Arial"/>
          <w:lang w:eastAsia="en-US"/>
        </w:rPr>
        <w:t xml:space="preserve"> </w:t>
      </w:r>
      <w:r w:rsidR="00085208" w:rsidRPr="00572A01">
        <w:rPr>
          <w:rFonts w:cs="Arial"/>
          <w:lang w:eastAsia="en-US"/>
        </w:rPr>
        <w:t>o obavljenoj financijskoj reviziji</w:t>
      </w:r>
      <w:r w:rsidR="00E91E8E">
        <w:rPr>
          <w:rFonts w:cs="Arial"/>
          <w:lang w:eastAsia="en-US"/>
        </w:rPr>
        <w:t>, i to:</w:t>
      </w:r>
      <w:r w:rsidR="00085208" w:rsidRPr="00572A01">
        <w:rPr>
          <w:rFonts w:cs="Arial"/>
          <w:lang w:eastAsia="en-US"/>
        </w:rPr>
        <w:t xml:space="preserve"> </w:t>
      </w:r>
      <w:r w:rsidR="00572A01" w:rsidRPr="00572A01">
        <w:rPr>
          <w:rFonts w:cs="Arial"/>
          <w:lang w:eastAsia="en-US"/>
        </w:rPr>
        <w:t>jednog proračunskog korisnika državnog proračuna (</w:t>
      </w:r>
      <w:r w:rsidR="001E155D">
        <w:rPr>
          <w:b/>
        </w:rPr>
        <w:t>Ministarstvo</w:t>
      </w:r>
      <w:r w:rsidR="00572A01" w:rsidRPr="00EC7A2F">
        <w:rPr>
          <w:b/>
        </w:rPr>
        <w:t xml:space="preserve"> mora, prometa i infrastrukture</w:t>
      </w:r>
      <w:r w:rsidR="00572A01" w:rsidRPr="00572A01">
        <w:t>),</w:t>
      </w:r>
      <w:r w:rsidR="00572A01">
        <w:t xml:space="preserve"> </w:t>
      </w:r>
      <w:r w:rsidR="00572A01" w:rsidRPr="00572A01">
        <w:t>pet</w:t>
      </w:r>
      <w:r w:rsidR="00085208" w:rsidRPr="00572A01">
        <w:rPr>
          <w:rFonts w:cs="Arial"/>
          <w:lang w:eastAsia="en-US"/>
        </w:rPr>
        <w:t xml:space="preserve"> lokaln</w:t>
      </w:r>
      <w:r w:rsidR="00572A01" w:rsidRPr="00572A01">
        <w:rPr>
          <w:rFonts w:cs="Arial"/>
          <w:lang w:eastAsia="en-US"/>
        </w:rPr>
        <w:t>ih jedinica (</w:t>
      </w:r>
      <w:r w:rsidR="00572A01" w:rsidRPr="00EC7A2F">
        <w:rPr>
          <w:rFonts w:cs="Arial"/>
          <w:b/>
          <w:lang w:eastAsia="en-US"/>
        </w:rPr>
        <w:t xml:space="preserve">Grad Kraljevica </w:t>
      </w:r>
      <w:r w:rsidR="00E91E8E" w:rsidRPr="00EC7A2F">
        <w:rPr>
          <w:rFonts w:cs="Arial"/>
          <w:b/>
          <w:lang w:eastAsia="en-US"/>
        </w:rPr>
        <w:t xml:space="preserve">te </w:t>
      </w:r>
      <w:r w:rsidR="00572A01" w:rsidRPr="00EC7A2F">
        <w:rPr>
          <w:rFonts w:cs="Arial"/>
          <w:b/>
          <w:lang w:eastAsia="en-US"/>
        </w:rPr>
        <w:t xml:space="preserve">općine </w:t>
      </w:r>
      <w:r w:rsidR="00AA013D" w:rsidRPr="00EC7A2F">
        <w:rPr>
          <w:b/>
        </w:rPr>
        <w:t xml:space="preserve">Marija Bistrica, </w:t>
      </w:r>
      <w:r w:rsidR="00572A01" w:rsidRPr="00EC7A2F">
        <w:rPr>
          <w:b/>
        </w:rPr>
        <w:t xml:space="preserve">Oriovac, </w:t>
      </w:r>
      <w:proofErr w:type="spellStart"/>
      <w:r w:rsidR="00572A01" w:rsidRPr="00EC7A2F">
        <w:rPr>
          <w:b/>
        </w:rPr>
        <w:t>Podstrana</w:t>
      </w:r>
      <w:proofErr w:type="spellEnd"/>
      <w:r w:rsidR="00572A01" w:rsidRPr="00EC7A2F">
        <w:rPr>
          <w:b/>
        </w:rPr>
        <w:t xml:space="preserve"> </w:t>
      </w:r>
      <w:r w:rsidR="00E91E8E" w:rsidRPr="00EC7A2F">
        <w:rPr>
          <w:b/>
        </w:rPr>
        <w:t>i</w:t>
      </w:r>
      <w:r w:rsidR="00572A01" w:rsidRPr="00EC7A2F">
        <w:rPr>
          <w:b/>
        </w:rPr>
        <w:t xml:space="preserve"> </w:t>
      </w:r>
      <w:proofErr w:type="spellStart"/>
      <w:r w:rsidR="00572A01" w:rsidRPr="00EC7A2F">
        <w:rPr>
          <w:b/>
        </w:rPr>
        <w:t>Vrsar</w:t>
      </w:r>
      <w:proofErr w:type="spellEnd"/>
      <w:r w:rsidR="00572A01" w:rsidRPr="00EC7A2F">
        <w:rPr>
          <w:b/>
        </w:rPr>
        <w:t xml:space="preserve"> – </w:t>
      </w:r>
      <w:proofErr w:type="spellStart"/>
      <w:r w:rsidR="00572A01" w:rsidRPr="00EC7A2F">
        <w:rPr>
          <w:b/>
        </w:rPr>
        <w:t>Orsera</w:t>
      </w:r>
      <w:proofErr w:type="spellEnd"/>
      <w:r w:rsidR="00572A01" w:rsidRPr="00572A01">
        <w:t>),</w:t>
      </w:r>
      <w:r w:rsidR="00E91E8E">
        <w:t xml:space="preserve"> </w:t>
      </w:r>
      <w:r w:rsidR="00572A01" w:rsidRPr="00572A01">
        <w:rPr>
          <w:rFonts w:cs="Arial"/>
          <w:lang w:eastAsia="en-US"/>
        </w:rPr>
        <w:t>jednog trgovačkog društva u vlasništvu lokalne jedinice (</w:t>
      </w:r>
      <w:r w:rsidR="00572A01" w:rsidRPr="00EC7A2F">
        <w:rPr>
          <w:rFonts w:cs="Arial"/>
          <w:b/>
          <w:lang w:eastAsia="en-US"/>
        </w:rPr>
        <w:t xml:space="preserve">Lijepa Bistrica d.o.o., </w:t>
      </w:r>
      <w:r w:rsidR="00E91E8E" w:rsidRPr="00EC7A2F">
        <w:rPr>
          <w:rFonts w:cs="Arial"/>
          <w:b/>
          <w:lang w:eastAsia="en-US"/>
        </w:rPr>
        <w:t>M</w:t>
      </w:r>
      <w:r w:rsidR="00572A01" w:rsidRPr="00EC7A2F">
        <w:rPr>
          <w:rFonts w:cs="Arial"/>
          <w:b/>
          <w:lang w:eastAsia="en-US"/>
        </w:rPr>
        <w:t>arija Bistrica</w:t>
      </w:r>
      <w:r w:rsidR="00085208" w:rsidRPr="00572A01">
        <w:rPr>
          <w:rFonts w:cs="Arial"/>
          <w:lang w:eastAsia="en-US"/>
        </w:rPr>
        <w:t xml:space="preserve">) </w:t>
      </w:r>
      <w:r w:rsidR="00572A01" w:rsidRPr="00572A01">
        <w:rPr>
          <w:rFonts w:cs="Arial"/>
          <w:lang w:eastAsia="en-US"/>
        </w:rPr>
        <w:t>te dvije neprofitne organizacije (</w:t>
      </w:r>
      <w:r w:rsidR="00EC7A2F" w:rsidRPr="00EC7A2F">
        <w:rPr>
          <w:rFonts w:eastAsia="Calibri" w:cs="Arial"/>
          <w:b/>
          <w:lang w:eastAsia="en-US"/>
        </w:rPr>
        <w:t xml:space="preserve">Hrvatski teniski savez </w:t>
      </w:r>
      <w:r w:rsidR="00EC7A2F">
        <w:rPr>
          <w:rFonts w:eastAsia="Calibri" w:cs="Arial"/>
          <w:b/>
          <w:lang w:eastAsia="en-US"/>
        </w:rPr>
        <w:t xml:space="preserve">i </w:t>
      </w:r>
      <w:r w:rsidR="00572A01" w:rsidRPr="00EC7A2F">
        <w:rPr>
          <w:rFonts w:eastAsia="Calibri" w:cs="Arial"/>
          <w:b/>
          <w:lang w:eastAsia="en-US"/>
        </w:rPr>
        <w:t>Sportsk</w:t>
      </w:r>
      <w:r w:rsidR="00E91E8E" w:rsidRPr="00EC7A2F">
        <w:rPr>
          <w:rFonts w:eastAsia="Calibri" w:cs="Arial"/>
          <w:b/>
          <w:lang w:eastAsia="en-US"/>
        </w:rPr>
        <w:t>a</w:t>
      </w:r>
      <w:r w:rsidR="00572A01" w:rsidRPr="00EC7A2F">
        <w:rPr>
          <w:rFonts w:eastAsia="Calibri" w:cs="Arial"/>
          <w:b/>
          <w:lang w:eastAsia="en-US"/>
        </w:rPr>
        <w:t xml:space="preserve"> zajednic</w:t>
      </w:r>
      <w:r w:rsidR="00E91E8E" w:rsidRPr="00EC7A2F">
        <w:rPr>
          <w:rFonts w:eastAsia="Calibri" w:cs="Arial"/>
          <w:b/>
          <w:lang w:eastAsia="en-US"/>
        </w:rPr>
        <w:t>a</w:t>
      </w:r>
      <w:r w:rsidR="00EC7A2F">
        <w:rPr>
          <w:rFonts w:eastAsia="Calibri" w:cs="Arial"/>
          <w:b/>
          <w:lang w:eastAsia="en-US"/>
        </w:rPr>
        <w:t xml:space="preserve"> Grada Labina</w:t>
      </w:r>
      <w:r w:rsidR="00572A01" w:rsidRPr="00572A01">
        <w:rPr>
          <w:rFonts w:eastAsia="Calibri" w:cs="Arial"/>
          <w:lang w:eastAsia="en-US"/>
        </w:rPr>
        <w:t>).</w:t>
      </w:r>
    </w:p>
    <w:p w:rsidR="00085208" w:rsidRPr="00085208" w:rsidRDefault="00085208" w:rsidP="00085208">
      <w:pPr>
        <w:widowControl/>
        <w:tabs>
          <w:tab w:val="left" w:pos="567"/>
          <w:tab w:val="left" w:pos="993"/>
        </w:tabs>
        <w:autoSpaceDE/>
        <w:autoSpaceDN/>
        <w:adjustRightInd/>
        <w:ind w:left="567" w:hanging="567"/>
        <w:rPr>
          <w:rFonts w:cs="Arial"/>
          <w:lang w:eastAsia="en-US"/>
        </w:rPr>
      </w:pPr>
    </w:p>
    <w:p w:rsidR="00EC7A2F" w:rsidRPr="006B4106" w:rsidRDefault="007F099B" w:rsidP="00EC7A2F">
      <w:pPr>
        <w:widowControl/>
        <w:tabs>
          <w:tab w:val="left" w:pos="567"/>
        </w:tabs>
        <w:autoSpaceDE/>
        <w:autoSpaceDN/>
        <w:adjustRightInd/>
        <w:ind w:firstLine="567"/>
        <w:rPr>
          <w:rFonts w:cs="Arial"/>
        </w:rPr>
      </w:pPr>
      <w:r w:rsidRPr="003B4E3F">
        <w:rPr>
          <w:rFonts w:cs="Arial"/>
        </w:rPr>
        <w:t>Sva izvješća</w:t>
      </w:r>
      <w:r w:rsidRPr="003B4E3F">
        <w:t xml:space="preserve"> </w:t>
      </w:r>
      <w:r w:rsidRPr="003B4E3F">
        <w:rPr>
          <w:rFonts w:cs="Arial"/>
        </w:rPr>
        <w:t xml:space="preserve">dostavljena su i </w:t>
      </w:r>
      <w:r w:rsidRPr="003B4E3F">
        <w:rPr>
          <w:rFonts w:cs="Arial"/>
          <w:b/>
        </w:rPr>
        <w:t>D</w:t>
      </w:r>
      <w:r w:rsidR="00BE6AA2" w:rsidRPr="003B4E3F">
        <w:rPr>
          <w:rFonts w:cs="Arial"/>
          <w:b/>
        </w:rPr>
        <w:t>ržavnom odvjetništvu Republike Hrvatske</w:t>
      </w:r>
      <w:r w:rsidR="00F451C7">
        <w:rPr>
          <w:rFonts w:cs="Arial"/>
        </w:rPr>
        <w:t xml:space="preserve"> </w:t>
      </w:r>
      <w:r w:rsidR="004F0024">
        <w:rPr>
          <w:rFonts w:cs="Arial"/>
        </w:rPr>
        <w:t>i</w:t>
      </w:r>
      <w:r w:rsidR="00A22E43">
        <w:rPr>
          <w:rFonts w:cs="Arial"/>
        </w:rPr>
        <w:t xml:space="preserve"> objavljen</w:t>
      </w:r>
      <w:r w:rsidR="00DD3BC7">
        <w:rPr>
          <w:rFonts w:cs="Arial"/>
        </w:rPr>
        <w:t>a</w:t>
      </w:r>
      <w:r w:rsidR="00A22E43">
        <w:rPr>
          <w:rFonts w:cs="Arial"/>
        </w:rPr>
        <w:t xml:space="preserve"> </w:t>
      </w:r>
      <w:r w:rsidRPr="003B4E3F">
        <w:rPr>
          <w:rFonts w:cs="Arial"/>
        </w:rPr>
        <w:t>na</w:t>
      </w:r>
      <w:r w:rsidRPr="003B4E3F">
        <w:rPr>
          <w:rFonts w:cs="Arial"/>
          <w:b/>
        </w:rPr>
        <w:t xml:space="preserve"> </w:t>
      </w:r>
      <w:r w:rsidRPr="00F451C7">
        <w:rPr>
          <w:rFonts w:cs="Arial"/>
          <w:b/>
        </w:rPr>
        <w:t>mrežnim stranicama</w:t>
      </w:r>
      <w:r w:rsidRPr="00F451C7">
        <w:rPr>
          <w:rFonts w:cs="Arial"/>
        </w:rPr>
        <w:t xml:space="preserve"> </w:t>
      </w:r>
      <w:r w:rsidR="005E579E" w:rsidRPr="00F451C7">
        <w:rPr>
          <w:rFonts w:cs="Arial"/>
        </w:rPr>
        <w:t>Ureda</w:t>
      </w:r>
      <w:r w:rsidRPr="003B4E3F">
        <w:rPr>
          <w:rFonts w:cs="Arial"/>
        </w:rPr>
        <w:t xml:space="preserve">, </w:t>
      </w:r>
      <w:hyperlink r:id="rId9" w:history="1">
        <w:r w:rsidR="00EC7A2F" w:rsidRPr="002704CC">
          <w:rPr>
            <w:rStyle w:val="Hiperveza"/>
            <w:rFonts w:cs="Arial"/>
          </w:rPr>
          <w:t>www.revizija.hr</w:t>
        </w:r>
      </w:hyperlink>
      <w:r w:rsidR="006B4106" w:rsidRPr="006B4106">
        <w:rPr>
          <w:rStyle w:val="Hiperveza"/>
          <w:rFonts w:cs="Arial"/>
          <w:color w:val="auto"/>
          <w:u w:val="none"/>
        </w:rPr>
        <w:t>.</w:t>
      </w:r>
    </w:p>
    <w:p w:rsidR="00EC7A2F" w:rsidRDefault="00EC7A2F" w:rsidP="00EC7A2F">
      <w:pPr>
        <w:widowControl/>
        <w:tabs>
          <w:tab w:val="left" w:pos="567"/>
        </w:tabs>
        <w:autoSpaceDE/>
        <w:autoSpaceDN/>
        <w:adjustRightInd/>
        <w:ind w:firstLine="567"/>
        <w:rPr>
          <w:rFonts w:cs="Arial"/>
        </w:rPr>
      </w:pPr>
    </w:p>
    <w:p w:rsidR="00BC5441" w:rsidRDefault="00BC5441" w:rsidP="007F099B">
      <w:pPr>
        <w:tabs>
          <w:tab w:val="left" w:pos="0"/>
        </w:tabs>
        <w:ind w:firstLine="567"/>
        <w:rPr>
          <w:rFonts w:cs="Arial"/>
        </w:rPr>
      </w:pPr>
    </w:p>
    <w:p w:rsidR="00BC5441" w:rsidRDefault="00BC5441" w:rsidP="00BC5441">
      <w:pPr>
        <w:ind w:firstLine="567"/>
        <w:rPr>
          <w:rFonts w:ascii="Calibri" w:hAnsi="Calibri" w:cs="Calibri"/>
          <w:sz w:val="22"/>
          <w:szCs w:val="22"/>
        </w:rPr>
      </w:pPr>
      <w:r>
        <w:t>Također, Državni ured za reviziju je</w:t>
      </w:r>
      <w:r w:rsidR="007422F7">
        <w:t>,</w:t>
      </w:r>
      <w:r w:rsidR="00920EC2">
        <w:t xml:space="preserve"> u skladu s</w:t>
      </w:r>
      <w:r>
        <w:t xml:space="preserve"> člankom 23. stavkom 4. Zakona o Državnom uredu za reviziju, Državnom odvjetništvu dostavio na daljnje postupanje </w:t>
      </w:r>
      <w:r w:rsidR="0012295B">
        <w:t xml:space="preserve">dvije </w:t>
      </w:r>
      <w:r>
        <w:t xml:space="preserve">obavijesti o neprovođenju naloga i preporuka danih u </w:t>
      </w:r>
      <w:r w:rsidR="00860984">
        <w:t>prošlim financijskim revizijama</w:t>
      </w:r>
      <w:r>
        <w:t xml:space="preserve"> ovim subjektima</w:t>
      </w:r>
      <w:r w:rsidR="007A19F0">
        <w:t xml:space="preserve"> revizije</w:t>
      </w:r>
      <w:r>
        <w:t>.</w:t>
      </w:r>
    </w:p>
    <w:p w:rsidR="00BC5441" w:rsidRDefault="00BC5441" w:rsidP="00DE1492">
      <w:pPr>
        <w:pBdr>
          <w:bottom w:val="single" w:sz="4" w:space="1" w:color="auto"/>
        </w:pBdr>
        <w:rPr>
          <w:rFonts w:ascii="Times New Roman" w:hAnsi="Times New Roman"/>
        </w:rPr>
      </w:pPr>
    </w:p>
    <w:p w:rsidR="00B171FE" w:rsidRDefault="00B171FE" w:rsidP="007F099B">
      <w:pPr>
        <w:tabs>
          <w:tab w:val="left" w:pos="0"/>
        </w:tabs>
        <w:ind w:firstLine="567"/>
        <w:rPr>
          <w:rFonts w:cs="Arial"/>
        </w:rPr>
      </w:pPr>
    </w:p>
    <w:p w:rsidR="006262BD" w:rsidRDefault="006262BD" w:rsidP="007F099B">
      <w:pPr>
        <w:tabs>
          <w:tab w:val="left" w:pos="0"/>
        </w:tabs>
        <w:ind w:firstLine="567"/>
        <w:rPr>
          <w:rFonts w:cs="Arial"/>
        </w:rPr>
      </w:pPr>
    </w:p>
    <w:p w:rsidR="006262BD" w:rsidRDefault="006262BD" w:rsidP="007F099B">
      <w:pPr>
        <w:tabs>
          <w:tab w:val="left" w:pos="0"/>
        </w:tabs>
        <w:ind w:firstLine="567"/>
        <w:rPr>
          <w:rFonts w:cs="Arial"/>
        </w:rPr>
      </w:pPr>
    </w:p>
    <w:p w:rsidR="006262BD" w:rsidRDefault="006262BD" w:rsidP="007F099B">
      <w:pPr>
        <w:tabs>
          <w:tab w:val="left" w:pos="0"/>
        </w:tabs>
        <w:ind w:firstLine="567"/>
        <w:rPr>
          <w:rFonts w:cs="Arial"/>
        </w:rPr>
      </w:pPr>
    </w:p>
    <w:p w:rsidR="006262BD" w:rsidRDefault="006262BD" w:rsidP="007F099B">
      <w:pPr>
        <w:tabs>
          <w:tab w:val="left" w:pos="0"/>
        </w:tabs>
        <w:ind w:firstLine="567"/>
        <w:rPr>
          <w:rFonts w:cs="Arial"/>
        </w:rPr>
      </w:pPr>
    </w:p>
    <w:p w:rsidR="006262BD" w:rsidRDefault="006262BD" w:rsidP="007F099B">
      <w:pPr>
        <w:tabs>
          <w:tab w:val="left" w:pos="0"/>
        </w:tabs>
        <w:ind w:firstLine="567"/>
        <w:rPr>
          <w:rFonts w:cs="Arial"/>
        </w:rPr>
      </w:pPr>
    </w:p>
    <w:p w:rsidR="004F0024" w:rsidRDefault="004F0024" w:rsidP="007F099B">
      <w:pPr>
        <w:tabs>
          <w:tab w:val="left" w:pos="0"/>
        </w:tabs>
        <w:ind w:firstLine="567"/>
        <w:rPr>
          <w:rFonts w:cs="Arial"/>
        </w:rPr>
      </w:pPr>
    </w:p>
    <w:p w:rsidR="006262BD" w:rsidRPr="003B4E3F" w:rsidRDefault="006262BD" w:rsidP="007F099B">
      <w:pPr>
        <w:tabs>
          <w:tab w:val="left" w:pos="0"/>
        </w:tabs>
        <w:ind w:firstLine="567"/>
        <w:rPr>
          <w:rFonts w:cs="Arial"/>
        </w:rPr>
      </w:pPr>
    </w:p>
    <w:p w:rsidR="00015C39" w:rsidRDefault="004F0024" w:rsidP="004F0024">
      <w:pPr>
        <w:shd w:val="clear" w:color="auto" w:fill="BFBFBF" w:themeFill="background1" w:themeFillShade="BF"/>
        <w:tabs>
          <w:tab w:val="left" w:pos="284"/>
          <w:tab w:val="left" w:pos="567"/>
          <w:tab w:val="left" w:pos="851"/>
        </w:tabs>
        <w:rPr>
          <w:rFonts w:cs="Arial"/>
        </w:rPr>
      </w:pPr>
      <w:r w:rsidRPr="004F0024">
        <w:rPr>
          <w:rFonts w:cs="Arial"/>
        </w:rPr>
        <w:lastRenderedPageBreak/>
        <w:t>REVIZIJA GODIŠNJEG IZVJEŠTAJA O IZVRŠENJU DRŽAVNOG PRORAČUNA REPUBLIKE HRVATSKE ZA 2024. GODINU</w:t>
      </w:r>
    </w:p>
    <w:p w:rsidR="00015C39" w:rsidRDefault="00015C39" w:rsidP="00B171FE">
      <w:pPr>
        <w:ind w:firstLine="567"/>
        <w:rPr>
          <w:rFonts w:cs="Arial"/>
        </w:rPr>
      </w:pPr>
    </w:p>
    <w:p w:rsidR="00B171FE" w:rsidRDefault="00B171FE" w:rsidP="00B171FE">
      <w:pPr>
        <w:ind w:firstLine="567"/>
        <w:rPr>
          <w:rFonts w:cs="Arial"/>
          <w:b/>
        </w:rPr>
      </w:pPr>
      <w:r w:rsidRPr="009931EE">
        <w:rPr>
          <w:rFonts w:cs="Arial"/>
        </w:rPr>
        <w:t>Za</w:t>
      </w:r>
      <w:r w:rsidRPr="00B93D02">
        <w:rPr>
          <w:rFonts w:cs="Arial"/>
          <w:b/>
        </w:rPr>
        <w:t xml:space="preserve"> </w:t>
      </w:r>
      <w:r w:rsidRPr="00D16CA7">
        <w:rPr>
          <w:rFonts w:cs="Arial"/>
        </w:rPr>
        <w:t>Godišnji izvještaj o izvršenju Državnog proračuna Republike Hrvatske za 202</w:t>
      </w:r>
      <w:r w:rsidR="00A22E43">
        <w:rPr>
          <w:rFonts w:cs="Arial"/>
        </w:rPr>
        <w:t>4</w:t>
      </w:r>
      <w:r w:rsidRPr="00D16CA7">
        <w:rPr>
          <w:rFonts w:cs="Arial"/>
        </w:rPr>
        <w:t>. godinu</w:t>
      </w:r>
      <w:r w:rsidRPr="000C20C9">
        <w:rPr>
          <w:rFonts w:cs="Arial"/>
        </w:rPr>
        <w:t xml:space="preserve"> izraženo je </w:t>
      </w:r>
      <w:r w:rsidRPr="000C20C9">
        <w:rPr>
          <w:rFonts w:cs="Arial"/>
          <w:b/>
        </w:rPr>
        <w:t>uvjetno mišljenje</w:t>
      </w:r>
      <w:r w:rsidRPr="00F25375">
        <w:rPr>
          <w:rFonts w:cs="Arial"/>
        </w:rPr>
        <w:t>.</w:t>
      </w:r>
      <w:r>
        <w:rPr>
          <w:rFonts w:cs="Arial"/>
          <w:b/>
        </w:rPr>
        <w:t xml:space="preserve"> </w:t>
      </w:r>
    </w:p>
    <w:p w:rsidR="00B171FE" w:rsidRDefault="00B171FE" w:rsidP="00B171FE">
      <w:pPr>
        <w:ind w:firstLine="567"/>
        <w:rPr>
          <w:rFonts w:cs="Arial"/>
          <w:b/>
        </w:rPr>
      </w:pPr>
    </w:p>
    <w:p w:rsidR="00B019E8" w:rsidRPr="00B019E8" w:rsidRDefault="00B019E8" w:rsidP="00B019E8">
      <w:pPr>
        <w:tabs>
          <w:tab w:val="left" w:pos="567"/>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contextualSpacing/>
        <w:textAlignment w:val="baseline"/>
        <w:rPr>
          <w:lang w:eastAsia="x-none"/>
        </w:rPr>
      </w:pPr>
      <w:r w:rsidRPr="00B019E8">
        <w:rPr>
          <w:lang w:eastAsia="x-none"/>
        </w:rPr>
        <w:t>Ciljevi revizije bili su:</w:t>
      </w:r>
    </w:p>
    <w:p w:rsidR="00B019E8" w:rsidRPr="00B019E8" w:rsidRDefault="00B019E8" w:rsidP="0012295B">
      <w:pPr>
        <w:tabs>
          <w:tab w:val="left" w:pos="284"/>
          <w:tab w:val="left" w:pos="1134"/>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284" w:firstLine="283"/>
        <w:contextualSpacing/>
        <w:rPr>
          <w:lang w:eastAsia="x-none"/>
        </w:rPr>
      </w:pPr>
      <w:r w:rsidRPr="00B019E8">
        <w:rPr>
          <w:lang w:eastAsia="x-none"/>
        </w:rPr>
        <w:t>–</w:t>
      </w:r>
      <w:r w:rsidRPr="00B019E8">
        <w:rPr>
          <w:lang w:eastAsia="x-none"/>
        </w:rPr>
        <w:tab/>
        <w:t>provjeriti cjelovitost i točnost iskazanih podataka u Godišnjem izvještaju za 2024.</w:t>
      </w:r>
    </w:p>
    <w:p w:rsidR="00B019E8" w:rsidRPr="00B019E8" w:rsidRDefault="00B019E8" w:rsidP="0012295B">
      <w:pPr>
        <w:tabs>
          <w:tab w:val="left" w:pos="284"/>
          <w:tab w:val="left" w:pos="1134"/>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284" w:firstLine="283"/>
        <w:contextualSpacing/>
        <w:rPr>
          <w:lang w:eastAsia="x-none"/>
        </w:rPr>
      </w:pPr>
      <w:r w:rsidRPr="00B019E8">
        <w:rPr>
          <w:lang w:eastAsia="x-none"/>
        </w:rPr>
        <w:t>–</w:t>
      </w:r>
      <w:r w:rsidRPr="00B019E8">
        <w:rPr>
          <w:lang w:eastAsia="x-none"/>
        </w:rPr>
        <w:tab/>
        <w:t>provjeriti procese planiranja i izvršavanja državnog proračuna</w:t>
      </w:r>
    </w:p>
    <w:p w:rsidR="00B019E8" w:rsidRPr="00B019E8" w:rsidRDefault="00B019E8" w:rsidP="0012295B">
      <w:pPr>
        <w:tabs>
          <w:tab w:val="left" w:pos="284"/>
          <w:tab w:val="left" w:pos="1134"/>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1131" w:hanging="564"/>
        <w:contextualSpacing/>
        <w:rPr>
          <w:lang w:eastAsia="x-none"/>
        </w:rPr>
      </w:pPr>
      <w:r w:rsidRPr="00B019E8">
        <w:rPr>
          <w:lang w:eastAsia="x-none"/>
        </w:rPr>
        <w:t>–</w:t>
      </w:r>
      <w:r w:rsidRPr="00B019E8">
        <w:rPr>
          <w:lang w:eastAsia="x-none"/>
        </w:rPr>
        <w:tab/>
      </w:r>
      <w:r w:rsidR="0012295B">
        <w:rPr>
          <w:lang w:eastAsia="x-none"/>
        </w:rPr>
        <w:tab/>
      </w:r>
      <w:r w:rsidRPr="00B019E8">
        <w:rPr>
          <w:lang w:eastAsia="x-none"/>
        </w:rPr>
        <w:t xml:space="preserve">provjeriti ostvarenje prihoda i primitaka te rashoda i izdataka u skladu s Državnim proračunom Republike Hrvatske za 2024. </w:t>
      </w:r>
    </w:p>
    <w:p w:rsidR="00B019E8" w:rsidRPr="00B019E8" w:rsidRDefault="00B019E8" w:rsidP="0012295B">
      <w:pPr>
        <w:tabs>
          <w:tab w:val="left" w:pos="284"/>
          <w:tab w:val="left" w:pos="1134"/>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1131" w:hanging="564"/>
        <w:contextualSpacing/>
        <w:rPr>
          <w:lang w:eastAsia="x-none"/>
        </w:rPr>
      </w:pPr>
      <w:r w:rsidRPr="00B019E8">
        <w:rPr>
          <w:lang w:eastAsia="x-none"/>
        </w:rPr>
        <w:t>–</w:t>
      </w:r>
      <w:r w:rsidRPr="00B019E8">
        <w:rPr>
          <w:lang w:eastAsia="x-none"/>
        </w:rPr>
        <w:tab/>
      </w:r>
      <w:r w:rsidR="0012295B">
        <w:rPr>
          <w:lang w:eastAsia="x-none"/>
        </w:rPr>
        <w:tab/>
      </w:r>
      <w:r w:rsidRPr="00B019E8">
        <w:rPr>
          <w:lang w:eastAsia="x-none"/>
        </w:rPr>
        <w:t>provjeriti zaduživanje i izdavanje jamstava te odobravanje sredstava iz proračunske zalihe</w:t>
      </w:r>
    </w:p>
    <w:p w:rsidR="00B019E8" w:rsidRPr="00B019E8" w:rsidRDefault="00B019E8" w:rsidP="0012295B">
      <w:pPr>
        <w:tabs>
          <w:tab w:val="left" w:pos="284"/>
          <w:tab w:val="left" w:pos="1134"/>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284" w:firstLine="283"/>
        <w:contextualSpacing/>
        <w:rPr>
          <w:lang w:eastAsia="x-none"/>
        </w:rPr>
      </w:pPr>
      <w:r w:rsidRPr="00B019E8">
        <w:rPr>
          <w:lang w:eastAsia="x-none"/>
        </w:rPr>
        <w:t>–</w:t>
      </w:r>
      <w:r w:rsidRPr="00B019E8">
        <w:rPr>
          <w:lang w:eastAsia="x-none"/>
        </w:rPr>
        <w:tab/>
        <w:t>ispitati organizaciju i vođenje računovodstva državnog proračuna.</w:t>
      </w:r>
    </w:p>
    <w:p w:rsidR="00B019E8" w:rsidRPr="00B019E8" w:rsidRDefault="00B019E8" w:rsidP="00B019E8">
      <w:pPr>
        <w:tabs>
          <w:tab w:val="left" w:pos="284"/>
          <w:tab w:val="left" w:pos="85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284" w:firstLine="283"/>
        <w:contextualSpacing/>
        <w:rPr>
          <w:lang w:eastAsia="x-none"/>
        </w:rPr>
      </w:pPr>
    </w:p>
    <w:p w:rsidR="00B019E8" w:rsidRPr="00B019E8" w:rsidRDefault="00B019E8" w:rsidP="00B019E8">
      <w:pPr>
        <w:ind w:firstLine="567"/>
        <w:rPr>
          <w:lang w:eastAsia="x-none"/>
        </w:rPr>
      </w:pPr>
      <w:r w:rsidRPr="00B019E8">
        <w:rPr>
          <w:lang w:eastAsia="x-none"/>
        </w:rPr>
        <w:t xml:space="preserve">Ukupni prihodi za 2024. iskazani su u iznosu od </w:t>
      </w:r>
      <w:r w:rsidRPr="007A19F0">
        <w:rPr>
          <w:b/>
          <w:lang w:eastAsia="x-none"/>
        </w:rPr>
        <w:t>30.501.608.530,82 eura</w:t>
      </w:r>
      <w:r w:rsidRPr="00B019E8">
        <w:rPr>
          <w:lang w:eastAsia="x-none"/>
        </w:rPr>
        <w:t xml:space="preserve">, a ukupni rashodi u iznosu od </w:t>
      </w:r>
      <w:r w:rsidRPr="007A19F0">
        <w:rPr>
          <w:b/>
          <w:lang w:eastAsia="x-none"/>
        </w:rPr>
        <w:t xml:space="preserve">32.720.157.842,43 </w:t>
      </w:r>
      <w:r w:rsidRPr="00B019E8">
        <w:rPr>
          <w:lang w:eastAsia="x-none"/>
        </w:rPr>
        <w:t xml:space="preserve">eura te je iskazan manjak državnog proračuna u iznosu od </w:t>
      </w:r>
      <w:r w:rsidRPr="007A19F0">
        <w:rPr>
          <w:b/>
          <w:lang w:eastAsia="x-none"/>
        </w:rPr>
        <w:t>2.218.549.311,61</w:t>
      </w:r>
      <w:r w:rsidRPr="00B019E8">
        <w:rPr>
          <w:lang w:eastAsia="x-none"/>
        </w:rPr>
        <w:t xml:space="preserve"> euro.</w:t>
      </w:r>
    </w:p>
    <w:p w:rsidR="00B019E8" w:rsidRPr="00B019E8" w:rsidRDefault="00B019E8" w:rsidP="00B019E8">
      <w:pPr>
        <w:ind w:firstLine="567"/>
        <w:rPr>
          <w:lang w:eastAsia="x-none"/>
        </w:rPr>
      </w:pPr>
    </w:p>
    <w:p w:rsidR="00B019E8" w:rsidRPr="007A19F0" w:rsidRDefault="00B019E8" w:rsidP="00B019E8">
      <w:pPr>
        <w:ind w:firstLine="567"/>
        <w:rPr>
          <w:b/>
          <w:lang w:eastAsia="x-none"/>
        </w:rPr>
      </w:pPr>
      <w:r w:rsidRPr="00B019E8">
        <w:rPr>
          <w:lang w:eastAsia="x-none"/>
        </w:rPr>
        <w:t xml:space="preserve">Primici od financijske imovine i zaduživanja u 2024. iskazani su u iznosu od </w:t>
      </w:r>
      <w:r w:rsidRPr="007A19F0">
        <w:rPr>
          <w:b/>
          <w:lang w:eastAsia="x-none"/>
        </w:rPr>
        <w:t>5.962.780.138,25 eura</w:t>
      </w:r>
      <w:r w:rsidRPr="00B019E8">
        <w:rPr>
          <w:lang w:eastAsia="x-none"/>
        </w:rPr>
        <w:t xml:space="preserve">, a izdaci za financijsku imovinu i otplate zajmova u iznosu od </w:t>
      </w:r>
      <w:r w:rsidRPr="007A19F0">
        <w:rPr>
          <w:b/>
          <w:lang w:eastAsia="x-none"/>
        </w:rPr>
        <w:t>4.842.576.156,95 eura</w:t>
      </w:r>
      <w:r w:rsidRPr="00B019E8">
        <w:rPr>
          <w:lang w:eastAsia="x-none"/>
        </w:rPr>
        <w:t xml:space="preserve"> te višak primitaka iznosi </w:t>
      </w:r>
      <w:r w:rsidRPr="007A19F0">
        <w:rPr>
          <w:b/>
          <w:lang w:eastAsia="x-none"/>
        </w:rPr>
        <w:t>1.120.203.981,30 eura.</w:t>
      </w:r>
    </w:p>
    <w:p w:rsidR="00B019E8" w:rsidRPr="00B019E8" w:rsidRDefault="00B019E8" w:rsidP="00B019E8">
      <w:pPr>
        <w:ind w:firstLine="567"/>
        <w:rPr>
          <w:lang w:eastAsia="x-none"/>
        </w:rPr>
      </w:pPr>
    </w:p>
    <w:p w:rsidR="00B019E8" w:rsidRPr="00B019E8" w:rsidRDefault="00B019E8" w:rsidP="00B019E8">
      <w:pPr>
        <w:ind w:firstLine="567"/>
        <w:rPr>
          <w:lang w:eastAsia="x-none"/>
        </w:rPr>
      </w:pPr>
      <w:r w:rsidRPr="00B019E8">
        <w:rPr>
          <w:lang w:eastAsia="x-none"/>
        </w:rPr>
        <w:t>Od 1. siječnja 2024. jedinice područne (regionalne) samouprave i Grad Zagreb prestale su biti osnivači općih bolnica, a osnivač je postala Republika Hrvatska. Nastavno na navedeno, 22 opće bolnice i ustanove u zdravstvu od 1. siječnja 2024. prestale su biti proračunski korisnici jedinica područne (regionalne) samouprave te su postale proračunski korisnici državnog proračuna, a n</w:t>
      </w:r>
      <w:r w:rsidR="00F25375">
        <w:rPr>
          <w:lang w:eastAsia="x-none"/>
        </w:rPr>
        <w:t>jihovi ukupni prihodi i primici te</w:t>
      </w:r>
      <w:r w:rsidRPr="00B019E8">
        <w:rPr>
          <w:lang w:eastAsia="x-none"/>
        </w:rPr>
        <w:t xml:space="preserve"> rashodi i izdaci uključeni su u državni proračun.</w:t>
      </w:r>
    </w:p>
    <w:p w:rsidR="00B019E8" w:rsidRPr="00B019E8" w:rsidRDefault="00B019E8" w:rsidP="00B019E8">
      <w:pPr>
        <w:ind w:firstLine="567"/>
        <w:rPr>
          <w:lang w:eastAsia="x-none"/>
        </w:rPr>
      </w:pPr>
    </w:p>
    <w:p w:rsidR="00B019E8" w:rsidRPr="00B019E8" w:rsidRDefault="0012295B" w:rsidP="0012295B">
      <w:pPr>
        <w:tabs>
          <w:tab w:val="left" w:pos="0"/>
          <w:tab w:val="left" w:pos="567"/>
        </w:tabs>
        <w:ind w:right="-1"/>
      </w:pPr>
      <w:r>
        <w:rPr>
          <w:rFonts w:eastAsia="Calibri" w:cs="Arial"/>
        </w:rPr>
        <w:tab/>
      </w:r>
      <w:r w:rsidR="00B019E8" w:rsidRPr="00B019E8">
        <w:rPr>
          <w:rFonts w:cs="Arial"/>
        </w:rPr>
        <w:t>U 2024. dano je sedam jamstava u ukupnom iznosu od 581.578.100,70 eura te su na koncu 2024.</w:t>
      </w:r>
      <w:r w:rsidR="00B019E8" w:rsidRPr="00B019E8">
        <w:t xml:space="preserve"> </w:t>
      </w:r>
      <w:r w:rsidR="006B4106">
        <w:rPr>
          <w:b/>
        </w:rPr>
        <w:t xml:space="preserve">ukupne </w:t>
      </w:r>
      <w:r w:rsidR="00B019E8" w:rsidRPr="00DA0F76">
        <w:rPr>
          <w:rFonts w:cs="Arial"/>
          <w:b/>
        </w:rPr>
        <w:t>potencijalne obveze na temelju danih aktivnih jamstava iskazane u iznosu od 6.381.931.334,69 eura</w:t>
      </w:r>
      <w:r w:rsidR="00B019E8" w:rsidRPr="00B019E8">
        <w:rPr>
          <w:rFonts w:cs="Arial"/>
        </w:rPr>
        <w:t xml:space="preserve">. </w:t>
      </w:r>
    </w:p>
    <w:p w:rsidR="00B019E8" w:rsidRPr="00B019E8" w:rsidRDefault="00B019E8" w:rsidP="00B019E8">
      <w:pPr>
        <w:tabs>
          <w:tab w:val="left" w:pos="0"/>
          <w:tab w:val="left" w:pos="708"/>
        </w:tabs>
        <w:ind w:right="-1"/>
        <w:rPr>
          <w:rFonts w:eastAsia="Calibri" w:cs="Arial"/>
        </w:rPr>
      </w:pPr>
    </w:p>
    <w:p w:rsidR="00B019E8" w:rsidRPr="00B019E8" w:rsidRDefault="00B019E8" w:rsidP="00B019E8">
      <w:pPr>
        <w:ind w:firstLine="567"/>
        <w:contextualSpacing/>
      </w:pPr>
      <w:r w:rsidRPr="00B019E8">
        <w:t>Nepravilnosti koje su utjecale na izražavanje</w:t>
      </w:r>
      <w:r w:rsidR="008C3BED">
        <w:t xml:space="preserve"> uvjetnog mi</w:t>
      </w:r>
      <w:r w:rsidR="00AB45BE">
        <w:t>šljenja utvrđene</w:t>
      </w:r>
      <w:r w:rsidR="008C3BED">
        <w:t xml:space="preserve"> su</w:t>
      </w:r>
      <w:r w:rsidRPr="00B019E8">
        <w:t xml:space="preserve"> u područjima pripreme i izvršenja proračuna u dijelu koji se odnosi na prijenos sredstava iz prethodne godine (donos</w:t>
      </w:r>
      <w:r w:rsidRPr="00B019E8">
        <w:rPr>
          <w:rFonts w:cs="Arial"/>
        </w:rPr>
        <w:t xml:space="preserve">) i prijenos sredstava u sljedeću godinu (odnos) iskazan u Računu </w:t>
      </w:r>
      <w:r w:rsidRPr="0072074E">
        <w:rPr>
          <w:rFonts w:cs="Arial"/>
        </w:rPr>
        <w:t>financiranja</w:t>
      </w:r>
      <w:r w:rsidR="0072074E" w:rsidRPr="0072074E">
        <w:rPr>
          <w:rFonts w:cs="Arial"/>
        </w:rPr>
        <w:t xml:space="preserve"> te</w:t>
      </w:r>
      <w:r w:rsidRPr="0072074E">
        <w:rPr>
          <w:rFonts w:cs="Arial"/>
        </w:rPr>
        <w:t xml:space="preserve"> </w:t>
      </w:r>
      <w:r w:rsidRPr="0072074E">
        <w:t>raspoređivanje prihoda i primitaka u propisane izvore financiranja.</w:t>
      </w:r>
      <w:r w:rsidRPr="00B019E8">
        <w:t xml:space="preserve"> </w:t>
      </w:r>
    </w:p>
    <w:p w:rsidR="00B019E8" w:rsidRDefault="00B019E8" w:rsidP="00B019E8">
      <w:pPr>
        <w:ind w:firstLine="567"/>
        <w:contextualSpacing/>
      </w:pPr>
    </w:p>
    <w:p w:rsidR="00B019E8" w:rsidRDefault="00B019E8" w:rsidP="00B019E8">
      <w:pPr>
        <w:ind w:firstLine="567"/>
        <w:contextualSpacing/>
      </w:pPr>
      <w:r w:rsidRPr="00B019E8">
        <w:t xml:space="preserve">Utvrđeno </w:t>
      </w:r>
      <w:r w:rsidRPr="007A19F0">
        <w:t>je</w:t>
      </w:r>
      <w:r w:rsidR="007A19F0">
        <w:t>, među ostalim, sljedeće</w:t>
      </w:r>
      <w:r w:rsidRPr="007A19F0">
        <w:t>:</w:t>
      </w:r>
    </w:p>
    <w:p w:rsidR="00C8045F" w:rsidRPr="00B019E8" w:rsidRDefault="00C8045F" w:rsidP="00B019E8">
      <w:pPr>
        <w:ind w:firstLine="567"/>
        <w:contextualSpacing/>
      </w:pPr>
    </w:p>
    <w:p w:rsidR="00B019E8" w:rsidRPr="00B019E8" w:rsidRDefault="00B019E8" w:rsidP="00B019E8">
      <w:pPr>
        <w:ind w:firstLine="567"/>
        <w:contextualSpacing/>
        <w:rPr>
          <w:rFonts w:cs="Arial"/>
        </w:rPr>
      </w:pPr>
      <w:r w:rsidRPr="00B019E8">
        <w:rPr>
          <w:rFonts w:cs="Arial"/>
        </w:rPr>
        <w:t>Pri planiranju državnog proračuna,</w:t>
      </w:r>
      <w:r w:rsidRPr="00B019E8">
        <w:t xml:space="preserve"> </w:t>
      </w:r>
      <w:r w:rsidRPr="00B019E8">
        <w:rPr>
          <w:rFonts w:cs="Arial"/>
        </w:rPr>
        <w:t>uključujući i njegove izmjene i dopune, u izračun prijenosa sredstava iz prethodne godine i prijenos sredstava u sljedeću godinu nije uključeno stanje neutrošenih vlastitih prihoda, namjenskih prihoda i primitaka te ostalih sredstava proračunskih korisnika državnog proračuna koji svoje novčano poslovanje obavljaju preko računa otvorenih u kreditnim institucijama, zbog čega prijenos sredstava iz prethodne godine (donos) i prijenos sredstava u sljedeću godinu (odnos) iskazan u Računu financiranja nije realno planiran ni iskazan u godi</w:t>
      </w:r>
      <w:r w:rsidR="006B4106">
        <w:rPr>
          <w:rFonts w:cs="Arial"/>
        </w:rPr>
        <w:t xml:space="preserve">šnjem izvještaju. Koncem 2023. </w:t>
      </w:r>
      <w:r w:rsidRPr="00B019E8">
        <w:rPr>
          <w:rFonts w:cs="Arial"/>
        </w:rPr>
        <w:t xml:space="preserve">navedena neutrošena sredstva iznosila su 435.517.158,00 eura. Navedena sredstva nisu uključena ni pri izvršavanju državnog proračuna zbog čega u Godišnjem izvještaju za 2024. nisu iskazana u okviru prijenosa sredstava iz prethodne godine te uzeta u obzir pri iskazivanju prijenosa sredstava u sljedeću godinu. </w:t>
      </w:r>
    </w:p>
    <w:p w:rsidR="00B019E8" w:rsidRPr="00B019E8" w:rsidRDefault="00B019E8" w:rsidP="00B019E8">
      <w:pPr>
        <w:ind w:firstLine="567"/>
        <w:contextualSpacing/>
        <w:rPr>
          <w:rFonts w:cs="Arial"/>
        </w:rPr>
      </w:pPr>
      <w:r w:rsidRPr="00B019E8">
        <w:rPr>
          <w:rFonts w:cs="Arial"/>
        </w:rPr>
        <w:lastRenderedPageBreak/>
        <w:t xml:space="preserve">Nadalje, utvrđeno je da su pojedini prihodi i primici </w:t>
      </w:r>
      <w:r w:rsidR="006B4106">
        <w:t xml:space="preserve">raspoređeni u </w:t>
      </w:r>
      <w:r w:rsidRPr="00B019E8">
        <w:t>pogrešne izvore financiranja</w:t>
      </w:r>
      <w:r w:rsidRPr="00B019E8">
        <w:rPr>
          <w:rFonts w:cs="Arial"/>
        </w:rPr>
        <w:t>, što je utjecalo na pravilnost i realnost podataka o prihodima i primicima iskazanim prema izvorima financiranja, ali nije utjeca</w:t>
      </w:r>
      <w:r w:rsidR="006B4106">
        <w:rPr>
          <w:rFonts w:cs="Arial"/>
        </w:rPr>
        <w:t>l</w:t>
      </w:r>
      <w:r w:rsidRPr="00B019E8">
        <w:rPr>
          <w:rFonts w:cs="Arial"/>
        </w:rPr>
        <w:t>o na visinu iskazanih prihoda i primitaka.</w:t>
      </w:r>
    </w:p>
    <w:p w:rsidR="00B019E8" w:rsidRPr="00B019E8" w:rsidRDefault="00B019E8" w:rsidP="00B019E8">
      <w:pPr>
        <w:ind w:firstLine="567"/>
        <w:contextualSpacing/>
        <w:rPr>
          <w:rFonts w:cs="Arial"/>
        </w:rPr>
      </w:pPr>
      <w:r w:rsidRPr="00B019E8">
        <w:rPr>
          <w:color w:val="000000"/>
        </w:rPr>
        <w:t>Također, utvrđeno je da p</w:t>
      </w:r>
      <w:r w:rsidR="008748A5">
        <w:rPr>
          <w:rFonts w:cs="Arial"/>
        </w:rPr>
        <w:t xml:space="preserve">rijedlog odluke </w:t>
      </w:r>
      <w:r w:rsidRPr="00B019E8">
        <w:rPr>
          <w:rFonts w:cs="Arial"/>
        </w:rPr>
        <w:t>o visini, načinu i rokovima uplate sredstava s osnove dobiti trgovačkih društava u državnom vlasništvu u državni proračun Republike Hrvatske za svaku proračunsku godinu</w:t>
      </w:r>
      <w:r w:rsidR="0030514A">
        <w:rPr>
          <w:rFonts w:cs="Arial"/>
        </w:rPr>
        <w:t>,</w:t>
      </w:r>
      <w:r w:rsidRPr="00B019E8">
        <w:rPr>
          <w:rFonts w:cs="Arial"/>
        </w:rPr>
        <w:t xml:space="preserve"> pa tako i odluka Vlada RH nisu doneseni prije donošenja odluka trgovačkih društava o raspodjeli dobiti za prethodnu godinu. Zbog navedenog </w:t>
      </w:r>
      <w:r w:rsidRPr="00B019E8">
        <w:rPr>
          <w:color w:val="000000"/>
        </w:rPr>
        <w:t xml:space="preserve">dio dobiti trgovačkih društava za 2023. u iznosu od 30.212.560,60 eura nije uplaćen u Državni proračun za 2024. te su u Godišnjem izvještaju za 2024. za navedeni iznos manje iskazani prihodi. </w:t>
      </w:r>
      <w:r w:rsidRPr="00B019E8">
        <w:t xml:space="preserve">Od navedenog iznosa, </w:t>
      </w:r>
      <w:r w:rsidRPr="00B019E8">
        <w:rPr>
          <w:color w:val="000000"/>
        </w:rPr>
        <w:t>dobit u iznosu od 17.230.725,90 eura umjesto u 2024. uplaćena je u 2025., a za dio dobiti u iznosu od 12.981.834,70 eura očekuje se uplata koncem lipnja 2025.</w:t>
      </w:r>
    </w:p>
    <w:p w:rsidR="00B019E8" w:rsidRPr="00B019E8" w:rsidRDefault="00B019E8" w:rsidP="00B019E8">
      <w:pPr>
        <w:ind w:right="-1" w:firstLine="567"/>
        <w:rPr>
          <w:rFonts w:eastAsia="Calibri" w:cs="Arial"/>
        </w:rPr>
      </w:pPr>
    </w:p>
    <w:p w:rsidR="00B019E8" w:rsidRPr="00B019E8" w:rsidRDefault="00B019E8" w:rsidP="00B019E8">
      <w:pPr>
        <w:ind w:right="-1" w:firstLine="567"/>
        <w:rPr>
          <w:rFonts w:eastAsia="Calibri" w:cs="Arial"/>
        </w:rPr>
      </w:pPr>
      <w:r w:rsidRPr="00B019E8">
        <w:rPr>
          <w:rFonts w:eastAsia="Calibri" w:cs="Arial"/>
        </w:rPr>
        <w:t>Državni ured za reviziju skrenuo je pozornost na rashode za transfer sredstava Hrvatskom zavodu za zdravstveno osiguranje za podmirenje obveza bolničkih zdravstvenih ustanova te na poteškoće zdravstvenog sustava i visinu dospjelih obveza bolničkih zdravstvenih ustanova koje mogu utjecati na buduće rashode državnog proračuna. Ukupne obveze zdravstvenih ustanova i HZZO-a (bez obveza za kredite i zajmove) koncem 2024. iznosile su 2.432.283.813,00 eura i veće su za 355.246.530,00 eura u odnosu na stanje koncem 2023. Obveze zdravstvenih ustanova (bez HZZO-a) koncem 2024. iznosile su 1.829.461.232,70 eura i veće su za 321.738.869,70 eura u odnosu na stanje koncem 2023. Dospjele obveze koncem 2024.</w:t>
      </w:r>
      <w:r w:rsidR="006B4106">
        <w:rPr>
          <w:rFonts w:eastAsia="Calibri" w:cs="Arial"/>
        </w:rPr>
        <w:t>,</w:t>
      </w:r>
      <w:r w:rsidRPr="00B019E8">
        <w:rPr>
          <w:rFonts w:eastAsia="Calibri" w:cs="Arial"/>
        </w:rPr>
        <w:t xml:space="preserve"> u odnosu na 2023., veće su za 116.772.308,28</w:t>
      </w:r>
      <w:r w:rsidR="006B4106">
        <w:rPr>
          <w:rFonts w:eastAsia="Calibri" w:cs="Arial"/>
        </w:rPr>
        <w:t xml:space="preserve"> eura, a nedospjele su veće za </w:t>
      </w:r>
      <w:r w:rsidRPr="00B019E8">
        <w:rPr>
          <w:rFonts w:eastAsia="Calibri" w:cs="Arial"/>
        </w:rPr>
        <w:t>204.966.561,30 eura.</w:t>
      </w:r>
    </w:p>
    <w:p w:rsidR="00B019E8" w:rsidRPr="00B019E8" w:rsidRDefault="00B019E8" w:rsidP="00B019E8">
      <w:pPr>
        <w:ind w:right="-1" w:firstLine="567"/>
        <w:rPr>
          <w:rFonts w:eastAsia="Calibri" w:cs="Arial"/>
        </w:rPr>
      </w:pPr>
      <w:r w:rsidRPr="00B019E8">
        <w:rPr>
          <w:rFonts w:eastAsia="Calibri" w:cs="Arial"/>
        </w:rPr>
        <w:t xml:space="preserve">Također, Državni ured za reviziju skrenuo je pozornost i na činjenice u vezi s obvezama na ime naknade štete po pravorijeku u arbitražnom postupku pred Međunarodnim centrom za rješavanje investicijskih sporova, koji je društvo MOL </w:t>
      </w:r>
      <w:proofErr w:type="spellStart"/>
      <w:r w:rsidRPr="00B019E8">
        <w:rPr>
          <w:rFonts w:eastAsia="Calibri" w:cs="Arial"/>
        </w:rPr>
        <w:t>Hung</w:t>
      </w:r>
      <w:r w:rsidR="006B4106">
        <w:rPr>
          <w:rFonts w:eastAsia="Calibri" w:cs="Arial"/>
        </w:rPr>
        <w:t>arian</w:t>
      </w:r>
      <w:proofErr w:type="spellEnd"/>
      <w:r w:rsidR="006B4106">
        <w:rPr>
          <w:rFonts w:eastAsia="Calibri" w:cs="Arial"/>
        </w:rPr>
        <w:t xml:space="preserve"> Oil </w:t>
      </w:r>
      <w:proofErr w:type="spellStart"/>
      <w:r w:rsidR="006B4106">
        <w:rPr>
          <w:rFonts w:eastAsia="Calibri" w:cs="Arial"/>
        </w:rPr>
        <w:t>and</w:t>
      </w:r>
      <w:proofErr w:type="spellEnd"/>
      <w:r w:rsidR="006B4106">
        <w:rPr>
          <w:rFonts w:eastAsia="Calibri" w:cs="Arial"/>
        </w:rPr>
        <w:t xml:space="preserve"> Gas Company PLC </w:t>
      </w:r>
      <w:r w:rsidRPr="00B019E8">
        <w:rPr>
          <w:rFonts w:eastAsia="Calibri" w:cs="Arial"/>
        </w:rPr>
        <w:t>pokrenulo protiv Republike Hrvatske 2013.</w:t>
      </w:r>
      <w:r w:rsidR="006B4106">
        <w:rPr>
          <w:rFonts w:eastAsia="Calibri" w:cs="Arial"/>
        </w:rPr>
        <w:t>,</w:t>
      </w:r>
      <w:r w:rsidRPr="00B019E8">
        <w:rPr>
          <w:rFonts w:eastAsia="Calibri" w:cs="Arial"/>
        </w:rPr>
        <w:t xml:space="preserve"> a koje predstavljaju fiskalni rizik za državni proračun s obzirom </w:t>
      </w:r>
      <w:r w:rsidR="006B4106">
        <w:rPr>
          <w:rFonts w:eastAsia="Calibri" w:cs="Arial"/>
        </w:rPr>
        <w:t xml:space="preserve">na to da </w:t>
      </w:r>
      <w:r w:rsidRPr="00B019E8">
        <w:rPr>
          <w:rFonts w:eastAsia="Calibri" w:cs="Arial"/>
        </w:rPr>
        <w:t>je Republika Hrvatska obvezna nadoknaditi štetu MOL-u u iznosu od gotovo 183,9 milijuna dolara, uvećano za zatezne kamate obračunane od 1. travnja 2014. do dana isplate te podmiriti troškove arbitražnog postupk</w:t>
      </w:r>
      <w:r w:rsidR="006B4106">
        <w:rPr>
          <w:rFonts w:eastAsia="Calibri" w:cs="Arial"/>
        </w:rPr>
        <w:t xml:space="preserve">a u iznosu od </w:t>
      </w:r>
      <w:r w:rsidRPr="00B019E8">
        <w:rPr>
          <w:rFonts w:eastAsia="Calibri" w:cs="Arial"/>
        </w:rPr>
        <w:t xml:space="preserve">približno 1,1 milijun dolara. </w:t>
      </w:r>
    </w:p>
    <w:p w:rsidR="00B019E8" w:rsidRPr="00B019E8" w:rsidRDefault="00B019E8" w:rsidP="00B019E8">
      <w:pPr>
        <w:tabs>
          <w:tab w:val="left" w:pos="709"/>
          <w:tab w:val="left" w:pos="993"/>
        </w:tabs>
        <w:rPr>
          <w:rFonts w:eastAsia="Calibri" w:cs="Arial"/>
        </w:rPr>
      </w:pPr>
      <w:r w:rsidRPr="00B019E8">
        <w:rPr>
          <w:rFonts w:eastAsia="Calibri" w:cs="Arial"/>
        </w:rPr>
        <w:tab/>
        <w:t xml:space="preserve">Također, Državni ured za reviziju skrenuo je pozornost na rizike za državni proračun u vezi s davanjem državnih jamstava. </w:t>
      </w:r>
    </w:p>
    <w:p w:rsidR="00B019E8" w:rsidRPr="00B019E8" w:rsidRDefault="00B019E8" w:rsidP="00B019E8">
      <w:pPr>
        <w:ind w:right="-1" w:firstLine="567"/>
        <w:rPr>
          <w:rFonts w:eastAsia="Calibri" w:cs="Arial"/>
        </w:rPr>
      </w:pPr>
    </w:p>
    <w:p w:rsidR="00027B08" w:rsidRDefault="00B019E8" w:rsidP="00C8045F">
      <w:pPr>
        <w:ind w:right="-1" w:firstLine="567"/>
        <w:rPr>
          <w:rFonts w:eastAsia="Calibri" w:cs="Arial"/>
        </w:rPr>
      </w:pPr>
      <w:r w:rsidRPr="00B019E8">
        <w:rPr>
          <w:rFonts w:eastAsia="Calibri" w:cs="Arial"/>
        </w:rPr>
        <w:t xml:space="preserve">Za sve utvrđene nepravilnosti i propuste Državni ured za reviziju dao je </w:t>
      </w:r>
      <w:r w:rsidRPr="00B019E8">
        <w:rPr>
          <w:rFonts w:eastAsia="Calibri" w:cs="Arial"/>
          <w:b/>
        </w:rPr>
        <w:t xml:space="preserve">dvanaest </w:t>
      </w:r>
      <w:r w:rsidRPr="00B019E8">
        <w:rPr>
          <w:rFonts w:eastAsia="Calibri" w:cs="Arial"/>
        </w:rPr>
        <w:t xml:space="preserve"> </w:t>
      </w:r>
      <w:r w:rsidRPr="00B019E8">
        <w:rPr>
          <w:rFonts w:eastAsia="Calibri" w:cs="Arial"/>
          <w:b/>
        </w:rPr>
        <w:t>naloga i preporuka</w:t>
      </w:r>
      <w:r w:rsidRPr="00B019E8">
        <w:rPr>
          <w:rFonts w:eastAsia="Calibri" w:cs="Arial"/>
        </w:rPr>
        <w:t xml:space="preserve">, čija bi provedba pridonijela točnosti iskazivanja podataka u godišnjem izvještaju o izvršenju državnog proračuna i učinkovitijem upravljanju proračunskim sredstvima.  </w:t>
      </w:r>
    </w:p>
    <w:p w:rsidR="0012295B" w:rsidRPr="00B019E8" w:rsidRDefault="0012295B" w:rsidP="00C8045F">
      <w:pPr>
        <w:ind w:right="-1" w:firstLine="567"/>
        <w:rPr>
          <w:rFonts w:eastAsia="Calibri" w:cs="Arial"/>
        </w:rPr>
      </w:pPr>
    </w:p>
    <w:p w:rsidR="00B019E8" w:rsidRDefault="00DA0F76" w:rsidP="00B019E8">
      <w:pPr>
        <w:ind w:right="-1" w:firstLine="567"/>
        <w:rPr>
          <w:rFonts w:eastAsia="Calibri" w:cs="Arial"/>
        </w:rPr>
      </w:pPr>
      <w:r>
        <w:rPr>
          <w:rFonts w:eastAsia="Calibri" w:cs="Arial"/>
        </w:rPr>
        <w:t>Također, u</w:t>
      </w:r>
      <w:r w:rsidR="00B019E8" w:rsidRPr="00B019E8">
        <w:rPr>
          <w:rFonts w:eastAsia="Calibri" w:cs="Arial"/>
        </w:rPr>
        <w:t xml:space="preserve"> okviru obavljene revizije provjerena je i provedba naloga i preporuka danih u prijašnjim revizijama. Utvrđeno je da je</w:t>
      </w:r>
      <w:r w:rsidR="006B4106">
        <w:rPr>
          <w:rFonts w:eastAsia="Calibri" w:cs="Arial"/>
        </w:rPr>
        <w:t>,</w:t>
      </w:r>
      <w:r w:rsidR="00B019E8" w:rsidRPr="00B019E8">
        <w:rPr>
          <w:rFonts w:eastAsia="Calibri" w:cs="Arial"/>
        </w:rPr>
        <w:t xml:space="preserve"> od </w:t>
      </w:r>
      <w:r w:rsidR="00B019E8" w:rsidRPr="00B019E8">
        <w:rPr>
          <w:rFonts w:eastAsia="Calibri" w:cs="Arial"/>
          <w:b/>
        </w:rPr>
        <w:t>27 danih naloga i preporuka</w:t>
      </w:r>
      <w:r w:rsidR="00B019E8" w:rsidRPr="00B019E8">
        <w:rPr>
          <w:rFonts w:eastAsia="Calibri" w:cs="Arial"/>
        </w:rPr>
        <w:t xml:space="preserve">, </w:t>
      </w:r>
      <w:r w:rsidR="00B019E8" w:rsidRPr="00B019E8">
        <w:rPr>
          <w:rFonts w:eastAsia="Calibri" w:cs="Arial"/>
          <w:b/>
        </w:rPr>
        <w:t xml:space="preserve">provedeno </w:t>
      </w:r>
      <w:r w:rsidR="006B7C3D" w:rsidRPr="0010006C">
        <w:rPr>
          <w:rFonts w:eastAsia="Calibri" w:cs="Arial"/>
          <w:b/>
        </w:rPr>
        <w:t xml:space="preserve">deset ili </w:t>
      </w:r>
      <w:r w:rsidR="00B019E8" w:rsidRPr="00B019E8">
        <w:rPr>
          <w:rFonts w:eastAsia="Calibri" w:cs="Arial"/>
          <w:b/>
        </w:rPr>
        <w:t>37,0 % naloga i preporuka</w:t>
      </w:r>
      <w:r w:rsidR="00B019E8" w:rsidRPr="00B019E8">
        <w:rPr>
          <w:rFonts w:eastAsia="Calibri" w:cs="Arial"/>
        </w:rPr>
        <w:t xml:space="preserve">, </w:t>
      </w:r>
      <w:r w:rsidR="00B019E8" w:rsidRPr="00B019E8">
        <w:rPr>
          <w:rFonts w:eastAsia="Calibri" w:cs="Arial"/>
          <w:b/>
        </w:rPr>
        <w:t>nakon rok</w:t>
      </w:r>
      <w:r w:rsidR="006B7C3D" w:rsidRPr="0010006C">
        <w:rPr>
          <w:rFonts w:eastAsia="Calibri" w:cs="Arial"/>
          <w:b/>
        </w:rPr>
        <w:t xml:space="preserve">a je provedena jedna preporuka ili </w:t>
      </w:r>
      <w:r w:rsidR="006B4106">
        <w:rPr>
          <w:rFonts w:eastAsia="Calibri" w:cs="Arial"/>
          <w:b/>
        </w:rPr>
        <w:t xml:space="preserve">        </w:t>
      </w:r>
      <w:r w:rsidR="006B7C3D" w:rsidRPr="0010006C">
        <w:rPr>
          <w:rFonts w:eastAsia="Calibri" w:cs="Arial"/>
          <w:b/>
        </w:rPr>
        <w:t>3,7 %</w:t>
      </w:r>
      <w:r w:rsidR="00B019E8" w:rsidRPr="00B019E8">
        <w:rPr>
          <w:rFonts w:eastAsia="Calibri" w:cs="Arial"/>
          <w:b/>
        </w:rPr>
        <w:t>,</w:t>
      </w:r>
      <w:r w:rsidR="00B019E8" w:rsidRPr="00B019E8">
        <w:rPr>
          <w:rFonts w:eastAsia="Calibri" w:cs="Arial"/>
        </w:rPr>
        <w:t xml:space="preserve"> </w:t>
      </w:r>
      <w:r w:rsidR="00B019E8" w:rsidRPr="00B019E8">
        <w:rPr>
          <w:rFonts w:eastAsia="Calibri" w:cs="Arial"/>
          <w:b/>
        </w:rPr>
        <w:t xml:space="preserve">djelomično je provedeno </w:t>
      </w:r>
      <w:r w:rsidR="00837D44" w:rsidRPr="0010006C">
        <w:rPr>
          <w:rFonts w:eastAsia="Calibri" w:cs="Arial"/>
          <w:b/>
        </w:rPr>
        <w:t>sedam ili 25,9 %</w:t>
      </w:r>
      <w:r w:rsidR="00B019E8" w:rsidRPr="0010006C">
        <w:rPr>
          <w:rFonts w:eastAsia="Calibri" w:cs="Arial"/>
          <w:b/>
        </w:rPr>
        <w:t>,</w:t>
      </w:r>
      <w:r w:rsidR="00B019E8" w:rsidRPr="00B019E8">
        <w:rPr>
          <w:rFonts w:eastAsia="Calibri" w:cs="Arial"/>
        </w:rPr>
        <w:t xml:space="preserve"> a </w:t>
      </w:r>
      <w:r w:rsidR="00B019E8" w:rsidRPr="00B019E8">
        <w:rPr>
          <w:rFonts w:eastAsia="Calibri" w:cs="Arial"/>
          <w:b/>
        </w:rPr>
        <w:t xml:space="preserve">u postupku provedbe je </w:t>
      </w:r>
      <w:r w:rsidR="00837D44" w:rsidRPr="0010006C">
        <w:rPr>
          <w:rFonts w:eastAsia="Calibri" w:cs="Arial"/>
          <w:b/>
        </w:rPr>
        <w:t xml:space="preserve">devet ili </w:t>
      </w:r>
      <w:r w:rsidR="00B019E8" w:rsidRPr="00B019E8">
        <w:rPr>
          <w:rFonts w:eastAsia="Calibri" w:cs="Arial"/>
          <w:b/>
        </w:rPr>
        <w:t>33,4 %</w:t>
      </w:r>
      <w:r w:rsidR="00B019E8" w:rsidRPr="00B019E8">
        <w:rPr>
          <w:rFonts w:eastAsia="Calibri" w:cs="Arial"/>
        </w:rPr>
        <w:t xml:space="preserve"> naloga i preporuka.</w:t>
      </w:r>
    </w:p>
    <w:p w:rsidR="006B7C3D" w:rsidRDefault="006B7C3D" w:rsidP="00B019E8">
      <w:pPr>
        <w:ind w:right="-1" w:firstLine="567"/>
        <w:rPr>
          <w:rFonts w:eastAsia="Calibri" w:cs="Arial"/>
        </w:rPr>
      </w:pPr>
    </w:p>
    <w:p w:rsidR="0012295B" w:rsidRDefault="0012295B" w:rsidP="00B019E8">
      <w:pPr>
        <w:ind w:right="-1" w:firstLine="567"/>
        <w:rPr>
          <w:rFonts w:eastAsia="Calibri" w:cs="Arial"/>
        </w:rPr>
      </w:pPr>
    </w:p>
    <w:p w:rsidR="0012295B" w:rsidRDefault="0012295B" w:rsidP="00B019E8">
      <w:pPr>
        <w:ind w:right="-1" w:firstLine="567"/>
        <w:rPr>
          <w:rFonts w:eastAsia="Calibri" w:cs="Arial"/>
        </w:rPr>
      </w:pPr>
    </w:p>
    <w:p w:rsidR="0012295B" w:rsidRDefault="0012295B" w:rsidP="00B019E8">
      <w:pPr>
        <w:ind w:right="-1" w:firstLine="567"/>
        <w:rPr>
          <w:rFonts w:eastAsia="Calibri" w:cs="Arial"/>
        </w:rPr>
      </w:pPr>
    </w:p>
    <w:p w:rsidR="0012295B" w:rsidRDefault="0012295B" w:rsidP="00B019E8">
      <w:pPr>
        <w:ind w:right="-1" w:firstLine="567"/>
        <w:rPr>
          <w:rFonts w:eastAsia="Calibri" w:cs="Arial"/>
        </w:rPr>
      </w:pPr>
    </w:p>
    <w:p w:rsidR="0012295B" w:rsidRDefault="0012295B" w:rsidP="00B019E8">
      <w:pPr>
        <w:ind w:right="-1" w:firstLine="567"/>
        <w:rPr>
          <w:rFonts w:eastAsia="Calibri" w:cs="Arial"/>
        </w:rPr>
      </w:pPr>
    </w:p>
    <w:p w:rsidR="0012295B" w:rsidRDefault="0012295B" w:rsidP="00B019E8">
      <w:pPr>
        <w:ind w:right="-1" w:firstLine="567"/>
        <w:rPr>
          <w:rFonts w:eastAsia="Calibri" w:cs="Arial"/>
        </w:rPr>
      </w:pPr>
    </w:p>
    <w:p w:rsidR="00361A2D" w:rsidRPr="0012295B" w:rsidRDefault="00361A2D" w:rsidP="0012295B">
      <w:pPr>
        <w:shd w:val="clear" w:color="auto" w:fill="BFBFBF" w:themeFill="background1" w:themeFillShade="BF"/>
        <w:tabs>
          <w:tab w:val="left" w:pos="567"/>
          <w:tab w:val="left" w:pos="2552"/>
        </w:tabs>
        <w:ind w:firstLine="567"/>
      </w:pPr>
      <w:r w:rsidRPr="0012295B">
        <w:lastRenderedPageBreak/>
        <w:t>Korisnici državnog proračuna</w:t>
      </w:r>
    </w:p>
    <w:p w:rsidR="00361A2D" w:rsidRDefault="00361A2D" w:rsidP="00361A2D">
      <w:pPr>
        <w:rPr>
          <w:b/>
        </w:rPr>
      </w:pPr>
    </w:p>
    <w:p w:rsidR="00361A2D" w:rsidRDefault="00361A2D" w:rsidP="00361A2D">
      <w:pPr>
        <w:ind w:firstLine="567"/>
      </w:pPr>
      <w:r>
        <w:t xml:space="preserve">Ured je obavio financijsku reviziju </w:t>
      </w:r>
      <w:r>
        <w:rPr>
          <w:b/>
        </w:rPr>
        <w:t xml:space="preserve">Ministarstva mora, prometa i infrastrukture, </w:t>
      </w:r>
      <w:r>
        <w:t>kojom su obuhvaćeni</w:t>
      </w:r>
      <w:r>
        <w:rPr>
          <w:b/>
        </w:rPr>
        <w:t xml:space="preserve"> </w:t>
      </w:r>
      <w:r>
        <w:t xml:space="preserve">financijski izvještaji i poslovanje za 2023. </w:t>
      </w:r>
    </w:p>
    <w:p w:rsidR="00361A2D" w:rsidRDefault="00361A2D" w:rsidP="00361A2D">
      <w:pPr>
        <w:ind w:firstLine="567"/>
      </w:pPr>
    </w:p>
    <w:p w:rsidR="00361A2D" w:rsidRDefault="00361A2D" w:rsidP="00361A2D">
      <w:pPr>
        <w:ind w:firstLine="567"/>
      </w:pPr>
      <w:r>
        <w:t>Ciljevi revizije bili su:</w:t>
      </w:r>
    </w:p>
    <w:p w:rsidR="00361A2D" w:rsidRDefault="00361A2D" w:rsidP="00361A2D">
      <w:pPr>
        <w:pStyle w:val="StilBulletCrtica"/>
        <w:numPr>
          <w:ilvl w:val="0"/>
          <w:numId w:val="4"/>
        </w:numPr>
        <w:ind w:left="1134" w:hanging="567"/>
        <w:textAlignment w:val="auto"/>
      </w:pPr>
      <w:r>
        <w:t xml:space="preserve">provjeriti istinitost i vjerodostojnost financijskih izvještaja </w:t>
      </w:r>
    </w:p>
    <w:p w:rsidR="00361A2D" w:rsidRDefault="00361A2D" w:rsidP="00361A2D">
      <w:pPr>
        <w:pStyle w:val="StilBulletCrtica"/>
        <w:numPr>
          <w:ilvl w:val="0"/>
          <w:numId w:val="4"/>
        </w:numPr>
        <w:ind w:left="1134" w:hanging="567"/>
        <w:textAlignment w:val="auto"/>
      </w:pPr>
      <w:r>
        <w:t xml:space="preserve">provjeriti ostvarenje prihoda i primitaka te rashoda i izdataka u skladu s planiranim aktivnostima i namjenama </w:t>
      </w:r>
    </w:p>
    <w:p w:rsidR="00361A2D" w:rsidRDefault="00361A2D" w:rsidP="00361A2D">
      <w:pPr>
        <w:pStyle w:val="StilBulletCrtica"/>
        <w:numPr>
          <w:ilvl w:val="0"/>
          <w:numId w:val="4"/>
        </w:numPr>
        <w:ind w:left="1134" w:hanging="567"/>
        <w:textAlignment w:val="auto"/>
      </w:pPr>
      <w:r>
        <w:t xml:space="preserve">provjeriti usklađenost poslovanja sa zakonima i drugim propisima koji imaju značajan utjecaj na financijsko poslovanje </w:t>
      </w:r>
    </w:p>
    <w:p w:rsidR="00361A2D" w:rsidRDefault="00361A2D" w:rsidP="00361A2D">
      <w:pPr>
        <w:pStyle w:val="StilBulletCrtica"/>
        <w:numPr>
          <w:ilvl w:val="0"/>
          <w:numId w:val="4"/>
        </w:numPr>
        <w:ind w:left="1134" w:hanging="567"/>
        <w:textAlignment w:val="auto"/>
      </w:pPr>
      <w:r>
        <w:t xml:space="preserve">provjeriti provedbu naloga i preporuka iz prošle revizije </w:t>
      </w:r>
    </w:p>
    <w:p w:rsidR="00361A2D" w:rsidRDefault="00361A2D" w:rsidP="00361A2D">
      <w:pPr>
        <w:pStyle w:val="StilBulletCrtica"/>
        <w:numPr>
          <w:ilvl w:val="0"/>
          <w:numId w:val="4"/>
        </w:numPr>
        <w:ind w:left="1134" w:hanging="567"/>
        <w:textAlignment w:val="auto"/>
      </w:pPr>
      <w:r>
        <w:t>provjeriti druge aktivnosti u vezi s poslovanjem.</w:t>
      </w:r>
    </w:p>
    <w:p w:rsidR="00361A2D" w:rsidRDefault="00361A2D" w:rsidP="00361A2D"/>
    <w:p w:rsidR="00361A2D" w:rsidRDefault="00361A2D" w:rsidP="00361A2D">
      <w:pPr>
        <w:ind w:firstLine="567"/>
        <w:rPr>
          <w:b/>
        </w:rPr>
      </w:pPr>
      <w:r>
        <w:t xml:space="preserve">O financijskim izvještajima i usklađenosti poslovanja Ministarstva mora, prometa i infrastrukture izražena su </w:t>
      </w:r>
      <w:r>
        <w:rPr>
          <w:b/>
        </w:rPr>
        <w:t xml:space="preserve">bezuvjetna mišljenja. </w:t>
      </w:r>
    </w:p>
    <w:p w:rsidR="00361A2D" w:rsidRDefault="00361A2D" w:rsidP="00361A2D">
      <w:pPr>
        <w:rPr>
          <w:b/>
        </w:rPr>
      </w:pPr>
    </w:p>
    <w:p w:rsidR="00361A2D" w:rsidRDefault="00361A2D" w:rsidP="00361A2D">
      <w:pPr>
        <w:ind w:firstLine="567"/>
      </w:pPr>
      <w:r>
        <w:t>U okviru obavljene revizije utvrđene su nepravilnosti i propusti u područjima sustava unutarnjih kontrola, računovodstvenog poslovanja te rashoda, koje nisu utjecale na izražavanje mišljenja o financijskim izvještajima i usklađenosti poslovanja.</w:t>
      </w:r>
    </w:p>
    <w:p w:rsidR="00361A2D" w:rsidRDefault="00361A2D" w:rsidP="00361A2D"/>
    <w:p w:rsidR="00361A2D" w:rsidRDefault="00361A2D" w:rsidP="00361A2D">
      <w:pPr>
        <w:ind w:firstLine="567"/>
      </w:pPr>
      <w:r>
        <w:t xml:space="preserve">Za utvrđene nepravilnosti i propuste Ministarstvu su dana </w:t>
      </w:r>
      <w:r>
        <w:rPr>
          <w:b/>
        </w:rPr>
        <w:t>četiri naloga i dvije preporuke</w:t>
      </w:r>
      <w:r>
        <w:t>. Osim toga, utvrđeno je da je</w:t>
      </w:r>
      <w:r w:rsidR="006B4106">
        <w:t>,</w:t>
      </w:r>
      <w:r>
        <w:t xml:space="preserve"> od </w:t>
      </w:r>
      <w:r w:rsidRPr="00D53C76">
        <w:rPr>
          <w:b/>
        </w:rPr>
        <w:t>13 naloga i preporuka</w:t>
      </w:r>
      <w:r>
        <w:t xml:space="preserve"> danih u </w:t>
      </w:r>
      <w:r w:rsidR="006262BD">
        <w:t>prijašnjim</w:t>
      </w:r>
      <w:r>
        <w:t xml:space="preserve"> revizijama, </w:t>
      </w:r>
      <w:r>
        <w:rPr>
          <w:b/>
        </w:rPr>
        <w:t>jedanaest</w:t>
      </w:r>
      <w:r w:rsidR="00DD412C">
        <w:t xml:space="preserve"> </w:t>
      </w:r>
      <w:r>
        <w:t xml:space="preserve">naloga i preporuka </w:t>
      </w:r>
      <w:r>
        <w:rPr>
          <w:b/>
        </w:rPr>
        <w:t>provedeno</w:t>
      </w:r>
      <w:r>
        <w:t xml:space="preserve">, a </w:t>
      </w:r>
      <w:r>
        <w:rPr>
          <w:b/>
        </w:rPr>
        <w:t>dva</w:t>
      </w:r>
      <w:r>
        <w:t xml:space="preserve"> </w:t>
      </w:r>
      <w:r w:rsidR="00DD412C">
        <w:t>naloga su</w:t>
      </w:r>
      <w:r>
        <w:t xml:space="preserve"> </w:t>
      </w:r>
      <w:r w:rsidR="00DD412C">
        <w:rPr>
          <w:b/>
        </w:rPr>
        <w:t>djelomično provedena</w:t>
      </w:r>
      <w:r>
        <w:t>.</w:t>
      </w:r>
    </w:p>
    <w:p w:rsidR="00770DFE" w:rsidRDefault="00770DFE" w:rsidP="00361A2D">
      <w:pPr>
        <w:ind w:firstLine="567"/>
      </w:pPr>
    </w:p>
    <w:p w:rsidR="00770DFE" w:rsidRDefault="00770DFE" w:rsidP="00361A2D">
      <w:pPr>
        <w:ind w:firstLine="567"/>
      </w:pPr>
    </w:p>
    <w:p w:rsidR="00770DFE" w:rsidRDefault="00770DFE" w:rsidP="00361A2D">
      <w:pPr>
        <w:ind w:firstLine="567"/>
      </w:pPr>
    </w:p>
    <w:p w:rsidR="00770DFE" w:rsidRPr="0012295B" w:rsidRDefault="00770DFE" w:rsidP="0012295B">
      <w:pPr>
        <w:shd w:val="clear" w:color="auto" w:fill="BFBFBF" w:themeFill="background1" w:themeFillShade="BF"/>
        <w:ind w:firstLine="567"/>
      </w:pPr>
      <w:r w:rsidRPr="0012295B">
        <w:t>Jedinice lokalne i područne (regionalne) samouprave</w:t>
      </w:r>
    </w:p>
    <w:p w:rsidR="00770DFE" w:rsidRDefault="00770DFE" w:rsidP="00361A2D"/>
    <w:p w:rsidR="00447D7B" w:rsidRDefault="00447D7B" w:rsidP="00D822EA">
      <w:pPr>
        <w:tabs>
          <w:tab w:val="left" w:pos="284"/>
          <w:tab w:val="left" w:pos="567"/>
          <w:tab w:val="left" w:pos="851"/>
        </w:tabs>
        <w:ind w:firstLine="567"/>
      </w:pPr>
      <w:r w:rsidRPr="000A3159">
        <w:t xml:space="preserve">Financijskom revizijom </w:t>
      </w:r>
      <w:r w:rsidRPr="0012295B">
        <w:rPr>
          <w:rFonts w:cs="Arial"/>
          <w:b/>
          <w:lang w:eastAsia="en-US"/>
        </w:rPr>
        <w:t>Grada Kraljevice te općin</w:t>
      </w:r>
      <w:r w:rsidR="0012295B">
        <w:rPr>
          <w:rFonts w:cs="Arial"/>
          <w:b/>
          <w:lang w:eastAsia="en-US"/>
        </w:rPr>
        <w:t>e</w:t>
      </w:r>
      <w:r w:rsidRPr="0012295B">
        <w:rPr>
          <w:rFonts w:cs="Arial"/>
          <w:b/>
          <w:lang w:eastAsia="en-US"/>
        </w:rPr>
        <w:t xml:space="preserve"> Marija Bistr</w:t>
      </w:r>
      <w:r w:rsidR="006B4106" w:rsidRPr="0012295B">
        <w:rPr>
          <w:rFonts w:cs="Arial"/>
          <w:b/>
          <w:lang w:eastAsia="en-US"/>
        </w:rPr>
        <w:t xml:space="preserve">ica, Oriovac, </w:t>
      </w:r>
      <w:proofErr w:type="spellStart"/>
      <w:r w:rsidR="006B4106" w:rsidRPr="0012295B">
        <w:rPr>
          <w:rFonts w:cs="Arial"/>
          <w:b/>
          <w:lang w:eastAsia="en-US"/>
        </w:rPr>
        <w:t>Podstrana</w:t>
      </w:r>
      <w:proofErr w:type="spellEnd"/>
      <w:r w:rsidR="006B4106" w:rsidRPr="0012295B">
        <w:rPr>
          <w:rFonts w:cs="Arial"/>
          <w:b/>
          <w:lang w:eastAsia="en-US"/>
        </w:rPr>
        <w:t xml:space="preserve"> i </w:t>
      </w:r>
      <w:proofErr w:type="spellStart"/>
      <w:r w:rsidR="006B4106" w:rsidRPr="0012295B">
        <w:rPr>
          <w:rFonts w:cs="Arial"/>
          <w:b/>
          <w:lang w:eastAsia="en-US"/>
        </w:rPr>
        <w:t>Vrsar</w:t>
      </w:r>
      <w:proofErr w:type="spellEnd"/>
      <w:r w:rsidR="006B4106" w:rsidRPr="0012295B">
        <w:rPr>
          <w:rFonts w:cs="Arial"/>
          <w:b/>
          <w:lang w:eastAsia="en-US"/>
        </w:rPr>
        <w:t xml:space="preserve"> – </w:t>
      </w:r>
      <w:proofErr w:type="spellStart"/>
      <w:r w:rsidRPr="0012295B">
        <w:rPr>
          <w:rFonts w:cs="Arial"/>
          <w:b/>
          <w:lang w:eastAsia="en-US"/>
        </w:rPr>
        <w:t>Orsera</w:t>
      </w:r>
      <w:proofErr w:type="spellEnd"/>
      <w:r>
        <w:t xml:space="preserve"> </w:t>
      </w:r>
      <w:r w:rsidRPr="000A3159">
        <w:t>obuhvaćeni su financijski</w:t>
      </w:r>
      <w:r>
        <w:t xml:space="preserve"> izvještaji i poslovanje za 2023</w:t>
      </w:r>
      <w:r w:rsidRPr="000A3159">
        <w:t xml:space="preserve">. </w:t>
      </w:r>
    </w:p>
    <w:p w:rsidR="0012295B" w:rsidRDefault="0012295B" w:rsidP="0012295B">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szCs w:val="20"/>
        </w:rPr>
      </w:pPr>
    </w:p>
    <w:p w:rsidR="0012295B" w:rsidRDefault="0012295B" w:rsidP="0012295B">
      <w:pPr>
        <w:ind w:firstLine="567"/>
      </w:pPr>
      <w:r>
        <w:t>Ciljevi revizije bili su:</w:t>
      </w:r>
    </w:p>
    <w:p w:rsidR="0012295B" w:rsidRDefault="0012295B" w:rsidP="0012295B">
      <w:pPr>
        <w:pStyle w:val="StilBulletCrtica"/>
        <w:numPr>
          <w:ilvl w:val="0"/>
          <w:numId w:val="4"/>
        </w:numPr>
        <w:ind w:left="1134" w:hanging="567"/>
        <w:textAlignment w:val="auto"/>
      </w:pPr>
      <w:r>
        <w:t xml:space="preserve">provjeriti istinitost i vjerodostojnost financijskih izvještaja </w:t>
      </w:r>
    </w:p>
    <w:p w:rsidR="0012295B" w:rsidRDefault="0012295B" w:rsidP="0012295B">
      <w:pPr>
        <w:pStyle w:val="StilBulletCrtica"/>
        <w:numPr>
          <w:ilvl w:val="0"/>
          <w:numId w:val="4"/>
        </w:numPr>
        <w:ind w:left="1134" w:hanging="567"/>
        <w:textAlignment w:val="auto"/>
      </w:pPr>
      <w:r>
        <w:t xml:space="preserve">provjeriti usklađenost poslovanja sa zakonima i drugim propisima koji imaju značajan utjecaj na financijsko poslovanje </w:t>
      </w:r>
    </w:p>
    <w:p w:rsidR="0012295B" w:rsidRDefault="0012295B" w:rsidP="0012295B">
      <w:pPr>
        <w:pStyle w:val="StilBulletCrtica"/>
        <w:numPr>
          <w:ilvl w:val="0"/>
          <w:numId w:val="4"/>
        </w:numPr>
        <w:ind w:left="1134" w:hanging="567"/>
        <w:textAlignment w:val="auto"/>
      </w:pPr>
      <w:r>
        <w:t xml:space="preserve">provjeriti provedbu naloga i preporuka iz prošle revizije </w:t>
      </w:r>
    </w:p>
    <w:p w:rsidR="0012295B" w:rsidRDefault="0012295B" w:rsidP="0012295B">
      <w:pPr>
        <w:pStyle w:val="StilBulletCrtica"/>
        <w:numPr>
          <w:ilvl w:val="0"/>
          <w:numId w:val="4"/>
        </w:numPr>
        <w:ind w:left="1134" w:hanging="567"/>
        <w:textAlignment w:val="auto"/>
      </w:pPr>
      <w:r>
        <w:t>provjeriti druge aktivnosti u vezi s poslovanjem.</w:t>
      </w:r>
    </w:p>
    <w:p w:rsidR="0012295B" w:rsidRDefault="0012295B" w:rsidP="0012295B"/>
    <w:p w:rsidR="00447D7B" w:rsidRPr="000A3159" w:rsidRDefault="00447D7B" w:rsidP="0012295B">
      <w:pPr>
        <w:tabs>
          <w:tab w:val="left" w:pos="284"/>
          <w:tab w:val="left" w:pos="567"/>
          <w:tab w:val="left" w:pos="851"/>
        </w:tabs>
        <w:rPr>
          <w:b/>
        </w:rPr>
      </w:pPr>
      <w:r w:rsidRPr="000A3159">
        <w:tab/>
      </w:r>
      <w:r w:rsidRPr="003A1931">
        <w:tab/>
      </w:r>
      <w:r w:rsidRPr="000A3159">
        <w:t>O financijskim izvještajima</w:t>
      </w:r>
      <w:r>
        <w:t xml:space="preserve"> </w:t>
      </w:r>
      <w:r w:rsidR="00D822EA">
        <w:t>i</w:t>
      </w:r>
      <w:r w:rsidR="006B4106">
        <w:t xml:space="preserve"> </w:t>
      </w:r>
      <w:r w:rsidRPr="000A3159">
        <w:t>uskl</w:t>
      </w:r>
      <w:r>
        <w:t xml:space="preserve">ađenosti poslovanja izražena su </w:t>
      </w:r>
      <w:r w:rsidR="00D822EA">
        <w:t xml:space="preserve">po </w:t>
      </w:r>
      <w:r w:rsidRPr="003F58EE">
        <w:rPr>
          <w:b/>
        </w:rPr>
        <w:t>tri bezuvjetna i dva uvjetna mišljenja</w:t>
      </w:r>
      <w:r w:rsidRPr="000A3159">
        <w:rPr>
          <w:b/>
        </w:rPr>
        <w:t xml:space="preserve">.  </w:t>
      </w:r>
    </w:p>
    <w:p w:rsidR="00447D7B" w:rsidRPr="000A3159" w:rsidRDefault="00447D7B" w:rsidP="00447D7B">
      <w:pPr>
        <w:tabs>
          <w:tab w:val="left" w:pos="284"/>
          <w:tab w:val="left" w:pos="567"/>
          <w:tab w:val="left" w:pos="851"/>
        </w:tabs>
      </w:pPr>
    </w:p>
    <w:p w:rsidR="00447D7B" w:rsidRPr="000A3159" w:rsidRDefault="00447D7B" w:rsidP="00447D7B">
      <w:pPr>
        <w:tabs>
          <w:tab w:val="left" w:pos="284"/>
          <w:tab w:val="left" w:pos="567"/>
          <w:tab w:val="left" w:pos="851"/>
        </w:tabs>
      </w:pPr>
      <w:r w:rsidRPr="000A3159">
        <w:tab/>
      </w:r>
      <w:r w:rsidRPr="003A1931">
        <w:tab/>
      </w:r>
      <w:r w:rsidRPr="000A3159">
        <w:rPr>
          <w:rFonts w:eastAsia="Calibri"/>
          <w:szCs w:val="22"/>
          <w:lang w:eastAsia="en-US"/>
        </w:rPr>
        <w:t xml:space="preserve">Na </w:t>
      </w:r>
      <w:r w:rsidRPr="000A3159">
        <w:rPr>
          <w:rFonts w:eastAsia="Calibri"/>
          <w:b/>
          <w:szCs w:val="22"/>
          <w:lang w:eastAsia="en-US"/>
        </w:rPr>
        <w:t>uvjetno mišljenje o financijskim izvještajima</w:t>
      </w:r>
      <w:r w:rsidRPr="000A3159">
        <w:rPr>
          <w:rFonts w:eastAsia="Calibri"/>
          <w:szCs w:val="22"/>
          <w:lang w:eastAsia="en-US"/>
        </w:rPr>
        <w:t xml:space="preserve"> utjecale su nepravilnosti u </w:t>
      </w:r>
      <w:r>
        <w:rPr>
          <w:rFonts w:eastAsia="Calibri"/>
          <w:szCs w:val="22"/>
          <w:lang w:eastAsia="en-US"/>
        </w:rPr>
        <w:t xml:space="preserve">području </w:t>
      </w:r>
      <w:r w:rsidRPr="000A3159">
        <w:rPr>
          <w:rFonts w:eastAsia="Calibri"/>
          <w:szCs w:val="22"/>
          <w:lang w:eastAsia="en-US"/>
        </w:rPr>
        <w:t>računovodstveno</w:t>
      </w:r>
      <w:r>
        <w:rPr>
          <w:rFonts w:eastAsia="Calibri"/>
          <w:szCs w:val="22"/>
          <w:lang w:eastAsia="en-US"/>
        </w:rPr>
        <w:t>g</w:t>
      </w:r>
      <w:r w:rsidRPr="000A3159">
        <w:rPr>
          <w:rFonts w:eastAsia="Calibri"/>
          <w:szCs w:val="22"/>
          <w:lang w:eastAsia="en-US"/>
        </w:rPr>
        <w:t xml:space="preserve"> poslovanj</w:t>
      </w:r>
      <w:r>
        <w:rPr>
          <w:rFonts w:eastAsia="Calibri"/>
          <w:szCs w:val="22"/>
          <w:lang w:eastAsia="en-US"/>
        </w:rPr>
        <w:t>a</w:t>
      </w:r>
      <w:r w:rsidRPr="000A3159">
        <w:rPr>
          <w:rFonts w:eastAsia="Calibri"/>
          <w:szCs w:val="22"/>
          <w:lang w:eastAsia="en-US"/>
        </w:rPr>
        <w:t xml:space="preserve">, zbog čega ni pojedini podaci u financijskim izvještajima nisu točni. </w:t>
      </w:r>
      <w:r w:rsidRPr="000A3159">
        <w:t xml:space="preserve">Utvrđene nepravilnosti odnose se na </w:t>
      </w:r>
      <w:r>
        <w:t xml:space="preserve">ustrojavanje i </w:t>
      </w:r>
      <w:r w:rsidRPr="000A3159">
        <w:t xml:space="preserve">vođenje poslovnih knjiga, evidentiranje poslovnih događaja na propisanim računima </w:t>
      </w:r>
      <w:r w:rsidR="0030514A">
        <w:t>R</w:t>
      </w:r>
      <w:r>
        <w:t>ačunskog plana</w:t>
      </w:r>
      <w:r w:rsidR="006B4106">
        <w:t>,</w:t>
      </w:r>
      <w:r>
        <w:t xml:space="preserve"> kao </w:t>
      </w:r>
      <w:r w:rsidRPr="000A3159">
        <w:t xml:space="preserve">i na temelju urednih i vjerodostojnih knjigovodstvenih isprava te </w:t>
      </w:r>
      <w:r>
        <w:t xml:space="preserve">na obavljanje </w:t>
      </w:r>
      <w:r w:rsidRPr="000A3159">
        <w:t>popis</w:t>
      </w:r>
      <w:r>
        <w:t>a</w:t>
      </w:r>
      <w:r w:rsidRPr="000A3159">
        <w:t xml:space="preserve"> imovine i obveza. </w:t>
      </w:r>
    </w:p>
    <w:p w:rsidR="00447D7B" w:rsidRDefault="00447D7B" w:rsidP="00447D7B">
      <w:pPr>
        <w:tabs>
          <w:tab w:val="left" w:pos="284"/>
          <w:tab w:val="left" w:pos="567"/>
          <w:tab w:val="left" w:pos="851"/>
        </w:tabs>
      </w:pPr>
    </w:p>
    <w:p w:rsidR="0012295B" w:rsidRDefault="00447D7B" w:rsidP="00447D7B">
      <w:pPr>
        <w:tabs>
          <w:tab w:val="left" w:pos="284"/>
          <w:tab w:val="left" w:pos="567"/>
          <w:tab w:val="left" w:pos="851"/>
        </w:tabs>
      </w:pPr>
      <w:r w:rsidRPr="000A3159">
        <w:tab/>
      </w:r>
      <w:r w:rsidRPr="003A1931">
        <w:tab/>
      </w:r>
    </w:p>
    <w:p w:rsidR="0012295B" w:rsidRDefault="0012295B" w:rsidP="00447D7B">
      <w:pPr>
        <w:tabs>
          <w:tab w:val="left" w:pos="284"/>
          <w:tab w:val="left" w:pos="567"/>
          <w:tab w:val="left" w:pos="851"/>
        </w:tabs>
      </w:pPr>
      <w:r>
        <w:lastRenderedPageBreak/>
        <w:tab/>
      </w:r>
      <w:r>
        <w:tab/>
      </w:r>
      <w:r w:rsidR="00447D7B">
        <w:t xml:space="preserve">Na </w:t>
      </w:r>
      <w:r w:rsidR="00447D7B" w:rsidRPr="003F58EE">
        <w:rPr>
          <w:b/>
        </w:rPr>
        <w:t>uvjetno mišljenje o usklađenosti poslovanja</w:t>
      </w:r>
      <w:r w:rsidR="00447D7B">
        <w:t xml:space="preserve"> utjecale su nepravilnosti u područjima sustava unutarnjih kontrola, naplate prihoda (potraživanja), rashoda, upravljanja imovinom i javne nabave.</w:t>
      </w:r>
    </w:p>
    <w:p w:rsidR="00447D7B" w:rsidRDefault="0012295B" w:rsidP="00447D7B">
      <w:pPr>
        <w:tabs>
          <w:tab w:val="left" w:pos="284"/>
          <w:tab w:val="left" w:pos="567"/>
          <w:tab w:val="left" w:pos="851"/>
        </w:tabs>
      </w:pPr>
      <w:r>
        <w:tab/>
      </w:r>
      <w:r>
        <w:tab/>
      </w:r>
      <w:r w:rsidR="00447D7B">
        <w:t xml:space="preserve">I kod </w:t>
      </w:r>
      <w:r w:rsidR="00447D7B" w:rsidRPr="000A3159">
        <w:t xml:space="preserve">jedinica kojima su izražena bezuvjetna mišljenja </w:t>
      </w:r>
      <w:r w:rsidR="00447D7B">
        <w:t>utvrđeni su određeni propusti, međutim, ovi propusti</w:t>
      </w:r>
      <w:r w:rsidR="00447D7B" w:rsidRPr="000A3159">
        <w:t xml:space="preserve"> nisu imali značajniji utjecaj na realnost i vjerodostojnost financijskih izvještaja i usklađenost poslovanja te su stoga i izražena bezuvjetna mišljenja.</w:t>
      </w:r>
      <w:r w:rsidR="00447D7B">
        <w:t xml:space="preserve"> </w:t>
      </w:r>
    </w:p>
    <w:p w:rsidR="0012295B" w:rsidRDefault="0012295B" w:rsidP="00447D7B">
      <w:pPr>
        <w:tabs>
          <w:tab w:val="left" w:pos="284"/>
          <w:tab w:val="left" w:pos="567"/>
          <w:tab w:val="left" w:pos="851"/>
        </w:tabs>
      </w:pPr>
    </w:p>
    <w:p w:rsidR="00447D7B" w:rsidRDefault="00447D7B" w:rsidP="00447D7B">
      <w:pPr>
        <w:tabs>
          <w:tab w:val="left" w:pos="284"/>
          <w:tab w:val="left" w:pos="567"/>
          <w:tab w:val="left" w:pos="851"/>
        </w:tabs>
        <w:ind w:left="567"/>
      </w:pPr>
      <w:r>
        <w:t>N</w:t>
      </w:r>
      <w:r w:rsidRPr="000A3159">
        <w:t>epravilnosti</w:t>
      </w:r>
      <w:r>
        <w:t xml:space="preserve"> i propusti </w:t>
      </w:r>
      <w:r w:rsidRPr="000A3159">
        <w:t>su utvrđen</w:t>
      </w:r>
      <w:r>
        <w:t>e, između ostaloga,</w:t>
      </w:r>
      <w:r w:rsidRPr="000A3159">
        <w:t xml:space="preserve"> kod:</w:t>
      </w:r>
    </w:p>
    <w:p w:rsidR="00447D7B" w:rsidRPr="008E2408" w:rsidRDefault="00447D7B" w:rsidP="00447D7B">
      <w:pPr>
        <w:pStyle w:val="Odlomakpopisa"/>
        <w:numPr>
          <w:ilvl w:val="0"/>
          <w:numId w:val="2"/>
        </w:numPr>
        <w:tabs>
          <w:tab w:val="left" w:pos="0"/>
        </w:tabs>
        <w:spacing w:line="240" w:lineRule="auto"/>
        <w:ind w:left="567" w:hanging="567"/>
        <w:jc w:val="both"/>
        <w:rPr>
          <w:rFonts w:ascii="Arial" w:hAnsi="Arial" w:cs="Arial"/>
          <w:color w:val="000000" w:themeColor="text1"/>
          <w:sz w:val="24"/>
          <w:szCs w:val="24"/>
        </w:rPr>
      </w:pPr>
      <w:r w:rsidRPr="008E2408">
        <w:rPr>
          <w:rFonts w:ascii="Arial" w:hAnsi="Arial" w:cs="Arial"/>
          <w:color w:val="000000" w:themeColor="text1"/>
          <w:sz w:val="24"/>
          <w:szCs w:val="24"/>
        </w:rPr>
        <w:t xml:space="preserve">naplate </w:t>
      </w:r>
      <w:r>
        <w:rPr>
          <w:rFonts w:ascii="Arial" w:hAnsi="Arial" w:cs="Arial"/>
          <w:color w:val="000000" w:themeColor="text1"/>
          <w:sz w:val="24"/>
          <w:szCs w:val="24"/>
        </w:rPr>
        <w:t>prihoda/</w:t>
      </w:r>
      <w:r w:rsidRPr="008E2408">
        <w:rPr>
          <w:rFonts w:ascii="Arial" w:hAnsi="Arial" w:cs="Arial"/>
          <w:color w:val="000000" w:themeColor="text1"/>
          <w:sz w:val="24"/>
          <w:szCs w:val="24"/>
        </w:rPr>
        <w:t xml:space="preserve">potraživanja (ne poduzimaju se mjere za naplatu potraživanja) </w:t>
      </w:r>
    </w:p>
    <w:p w:rsidR="00447D7B" w:rsidRPr="008E2408" w:rsidRDefault="00447D7B" w:rsidP="00447D7B">
      <w:pPr>
        <w:pStyle w:val="Odlomakpopisa"/>
        <w:numPr>
          <w:ilvl w:val="0"/>
          <w:numId w:val="2"/>
        </w:numPr>
        <w:tabs>
          <w:tab w:val="left" w:pos="567"/>
        </w:tabs>
        <w:spacing w:line="240" w:lineRule="auto"/>
        <w:ind w:left="567" w:hanging="567"/>
        <w:jc w:val="both"/>
        <w:rPr>
          <w:rFonts w:ascii="Arial" w:hAnsi="Arial" w:cs="Arial"/>
          <w:color w:val="000000" w:themeColor="text1"/>
          <w:sz w:val="24"/>
          <w:szCs w:val="24"/>
        </w:rPr>
      </w:pPr>
      <w:r w:rsidRPr="008E2408">
        <w:rPr>
          <w:rFonts w:ascii="Arial" w:hAnsi="Arial" w:cs="Arial"/>
          <w:color w:val="000000" w:themeColor="text1"/>
          <w:sz w:val="24"/>
          <w:szCs w:val="24"/>
        </w:rPr>
        <w:t xml:space="preserve">tekućih donacija udrugama (za dio donacija nisu provedeni natječaji ni zaključeni ugovori, nije provedena kontrola namjenskog korištenja </w:t>
      </w:r>
      <w:r>
        <w:rPr>
          <w:rFonts w:ascii="Arial" w:hAnsi="Arial" w:cs="Arial"/>
          <w:color w:val="000000" w:themeColor="text1"/>
          <w:sz w:val="24"/>
          <w:szCs w:val="24"/>
        </w:rPr>
        <w:t>donacija niti su obavljene kontrole na licu mjesta kod krajnjih korisnika donacija, nisu objavljene informacije o dodijeljenim donacijama</w:t>
      </w:r>
      <w:r w:rsidRPr="008E2408">
        <w:rPr>
          <w:rFonts w:ascii="Arial" w:hAnsi="Arial" w:cs="Arial"/>
          <w:color w:val="000000" w:themeColor="text1"/>
          <w:sz w:val="24"/>
          <w:szCs w:val="24"/>
        </w:rPr>
        <w:t xml:space="preserve"> </w:t>
      </w:r>
      <w:r>
        <w:rPr>
          <w:rFonts w:ascii="Arial" w:hAnsi="Arial" w:cs="Arial"/>
          <w:color w:val="000000" w:themeColor="text1"/>
          <w:sz w:val="24"/>
          <w:szCs w:val="24"/>
        </w:rPr>
        <w:t>na mrežnim stranicama lokalne jedinice</w:t>
      </w:r>
      <w:r w:rsidRPr="008E2408">
        <w:rPr>
          <w:rFonts w:ascii="Arial" w:hAnsi="Arial" w:cs="Arial"/>
          <w:color w:val="000000" w:themeColor="text1"/>
          <w:sz w:val="24"/>
          <w:szCs w:val="24"/>
        </w:rPr>
        <w:t>)</w:t>
      </w:r>
    </w:p>
    <w:p w:rsidR="00447D7B" w:rsidRDefault="00447D7B" w:rsidP="00447D7B">
      <w:pPr>
        <w:pStyle w:val="Odlomakpopisa"/>
        <w:numPr>
          <w:ilvl w:val="0"/>
          <w:numId w:val="2"/>
        </w:numPr>
        <w:tabs>
          <w:tab w:val="left" w:pos="567"/>
        </w:tabs>
        <w:spacing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upravljanja i raspolaganja imovinom (nisu donesene strategije upravljanja i raspolaganja imovinom, pri prodaji i kupnji imovine procjembeni elaborati nisu dostavljeni procjeniteljskom povjerenstvu na ocjenu usklađenosti sa Zakonom o procjeni vrijednosti nekretnina u cilju korištenja i raspolaganja nekretninama u vlasništvu lokalne jedinice na transparentan način, odnosno pažnjom dobrog gospodara)</w:t>
      </w:r>
      <w:r w:rsidRPr="003F58EE">
        <w:rPr>
          <w:rFonts w:ascii="Arial" w:hAnsi="Arial" w:cs="Arial"/>
          <w:color w:val="000000" w:themeColor="text1"/>
          <w:sz w:val="24"/>
          <w:szCs w:val="24"/>
        </w:rPr>
        <w:t xml:space="preserve">. </w:t>
      </w:r>
    </w:p>
    <w:p w:rsidR="00447D7B" w:rsidRPr="008E2408" w:rsidRDefault="00447D7B" w:rsidP="00447D7B">
      <w:pPr>
        <w:pStyle w:val="Odlomakpopisa"/>
        <w:tabs>
          <w:tab w:val="left" w:pos="567"/>
        </w:tabs>
        <w:spacing w:line="240" w:lineRule="auto"/>
        <w:ind w:left="567"/>
        <w:jc w:val="both"/>
        <w:rPr>
          <w:rFonts w:ascii="Arial" w:hAnsi="Arial" w:cs="Arial"/>
          <w:color w:val="000000" w:themeColor="text1"/>
          <w:sz w:val="24"/>
          <w:szCs w:val="24"/>
        </w:rPr>
      </w:pPr>
    </w:p>
    <w:p w:rsidR="00447D7B" w:rsidRDefault="00447D7B" w:rsidP="00447D7B">
      <w:pPr>
        <w:pStyle w:val="Odlomakpopisa"/>
        <w:tabs>
          <w:tab w:val="left" w:pos="567"/>
        </w:tabs>
        <w:spacing w:line="240" w:lineRule="auto"/>
        <w:ind w:left="567"/>
        <w:jc w:val="both"/>
        <w:rPr>
          <w:rFonts w:ascii="Arial" w:hAnsi="Arial" w:cs="Arial"/>
          <w:sz w:val="24"/>
          <w:szCs w:val="24"/>
        </w:rPr>
      </w:pPr>
      <w:r w:rsidRPr="008E2408">
        <w:rPr>
          <w:rFonts w:ascii="Arial" w:hAnsi="Arial" w:cs="Arial"/>
          <w:sz w:val="24"/>
          <w:szCs w:val="24"/>
        </w:rPr>
        <w:t xml:space="preserve">Za sve utvrđene nepravilnosti i propuste </w:t>
      </w:r>
      <w:r w:rsidR="007B3C14">
        <w:rPr>
          <w:rFonts w:ascii="Arial" w:hAnsi="Arial" w:cs="Arial"/>
          <w:sz w:val="24"/>
          <w:szCs w:val="24"/>
        </w:rPr>
        <w:t xml:space="preserve">ovim subjektima revizije </w:t>
      </w:r>
      <w:r w:rsidRPr="008E2408">
        <w:rPr>
          <w:rFonts w:ascii="Arial" w:hAnsi="Arial" w:cs="Arial"/>
          <w:sz w:val="24"/>
          <w:szCs w:val="24"/>
        </w:rPr>
        <w:t xml:space="preserve">dano </w:t>
      </w:r>
      <w:r w:rsidR="001B6D17">
        <w:rPr>
          <w:rFonts w:ascii="Arial" w:hAnsi="Arial" w:cs="Arial"/>
          <w:sz w:val="24"/>
          <w:szCs w:val="24"/>
        </w:rPr>
        <w:t>je</w:t>
      </w:r>
      <w:r w:rsidR="001B6D17" w:rsidRPr="008E2408">
        <w:rPr>
          <w:rFonts w:ascii="Arial" w:hAnsi="Arial" w:cs="Arial"/>
          <w:sz w:val="24"/>
          <w:szCs w:val="24"/>
        </w:rPr>
        <w:t xml:space="preserve"> </w:t>
      </w:r>
      <w:r w:rsidRPr="008E2408">
        <w:rPr>
          <w:rFonts w:ascii="Arial" w:hAnsi="Arial" w:cs="Arial"/>
          <w:sz w:val="24"/>
          <w:szCs w:val="24"/>
        </w:rPr>
        <w:t xml:space="preserve">ukupno </w:t>
      </w:r>
      <w:r w:rsidRPr="008E2408">
        <w:rPr>
          <w:rFonts w:ascii="Arial" w:hAnsi="Arial" w:cs="Arial"/>
          <w:b/>
          <w:sz w:val="24"/>
          <w:szCs w:val="24"/>
        </w:rPr>
        <w:t>100 naloga i preporuka</w:t>
      </w:r>
      <w:r w:rsidRPr="008E2408">
        <w:rPr>
          <w:rFonts w:ascii="Arial" w:hAnsi="Arial" w:cs="Arial"/>
          <w:sz w:val="24"/>
          <w:szCs w:val="24"/>
        </w:rPr>
        <w:t xml:space="preserve">. </w:t>
      </w:r>
    </w:p>
    <w:p w:rsidR="00447D7B" w:rsidRPr="008E2408" w:rsidRDefault="00447D7B" w:rsidP="00447D7B">
      <w:pPr>
        <w:pStyle w:val="Odlomakpopisa"/>
        <w:tabs>
          <w:tab w:val="left" w:pos="567"/>
        </w:tabs>
        <w:spacing w:line="240" w:lineRule="auto"/>
        <w:ind w:left="567"/>
        <w:jc w:val="both"/>
        <w:rPr>
          <w:rFonts w:ascii="Arial" w:hAnsi="Arial" w:cs="Arial"/>
          <w:color w:val="000000" w:themeColor="text1"/>
          <w:sz w:val="24"/>
          <w:szCs w:val="24"/>
        </w:rPr>
      </w:pPr>
    </w:p>
    <w:p w:rsidR="00447D7B" w:rsidRPr="000A3159" w:rsidRDefault="00447D7B" w:rsidP="00447D7B">
      <w:pPr>
        <w:tabs>
          <w:tab w:val="left" w:pos="284"/>
          <w:tab w:val="left" w:pos="567"/>
          <w:tab w:val="left" w:pos="851"/>
        </w:tabs>
      </w:pPr>
    </w:p>
    <w:p w:rsidR="00770DFE" w:rsidRPr="0012295B" w:rsidRDefault="00447D7B" w:rsidP="0012295B">
      <w:pPr>
        <w:shd w:val="clear" w:color="auto" w:fill="BFBFBF" w:themeFill="background1" w:themeFillShade="BF"/>
        <w:ind w:firstLine="567"/>
      </w:pPr>
      <w:r w:rsidRPr="0012295B">
        <w:t>T</w:t>
      </w:r>
      <w:r w:rsidR="00770DFE" w:rsidRPr="0012295B">
        <w:t>rgovačk</w:t>
      </w:r>
      <w:r w:rsidRPr="0012295B">
        <w:t>o</w:t>
      </w:r>
      <w:r w:rsidR="00770DFE" w:rsidRPr="0012295B">
        <w:t xml:space="preserve"> društv</w:t>
      </w:r>
      <w:r w:rsidRPr="0012295B">
        <w:t>o</w:t>
      </w:r>
      <w:r w:rsidR="00770DFE" w:rsidRPr="0012295B">
        <w:t xml:space="preserve"> u vlasništvu JLP(R</w:t>
      </w:r>
      <w:r w:rsidR="00F5525D" w:rsidRPr="0012295B">
        <w:t>)</w:t>
      </w:r>
      <w:r w:rsidR="00770DFE" w:rsidRPr="0012295B">
        <w:t>S</w:t>
      </w:r>
    </w:p>
    <w:p w:rsidR="00361A2D" w:rsidRDefault="00361A2D" w:rsidP="00D564DE">
      <w:pPr>
        <w:tabs>
          <w:tab w:val="left" w:pos="709"/>
          <w:tab w:val="left" w:pos="993"/>
        </w:tabs>
        <w:rPr>
          <w:rFonts w:cs="Arial"/>
          <w:b/>
        </w:rPr>
      </w:pPr>
    </w:p>
    <w:p w:rsidR="00F7687F" w:rsidRDefault="00F7687F" w:rsidP="00F7687F">
      <w:pPr>
        <w:ind w:firstLine="567"/>
      </w:pPr>
      <w:r>
        <w:t xml:space="preserve">Ured je obavio financijsku reviziju </w:t>
      </w:r>
      <w:r w:rsidRPr="00F7687F">
        <w:t xml:space="preserve">društva </w:t>
      </w:r>
      <w:r w:rsidR="006B4106">
        <w:rPr>
          <w:b/>
        </w:rPr>
        <w:t>Lijepa B</w:t>
      </w:r>
      <w:r>
        <w:rPr>
          <w:b/>
        </w:rPr>
        <w:t xml:space="preserve">istrica d.o.o., Marija Bistrica, </w:t>
      </w:r>
      <w:r>
        <w:t>kojom su obuhvaćeni</w:t>
      </w:r>
      <w:r>
        <w:rPr>
          <w:b/>
        </w:rPr>
        <w:t xml:space="preserve"> </w:t>
      </w:r>
      <w:r>
        <w:t xml:space="preserve">financijski izvještaji i poslovanje za 2023. </w:t>
      </w:r>
    </w:p>
    <w:p w:rsidR="00F7687F" w:rsidRDefault="00F7687F" w:rsidP="00F7687F">
      <w:pPr>
        <w:ind w:firstLine="567"/>
      </w:pPr>
    </w:p>
    <w:p w:rsidR="00F7687F" w:rsidRDefault="00F7687F" w:rsidP="00F7687F">
      <w:pPr>
        <w:ind w:firstLine="567"/>
      </w:pPr>
      <w:r>
        <w:t>Ciljevi revizije bili su:</w:t>
      </w:r>
    </w:p>
    <w:p w:rsidR="00F7687F" w:rsidRDefault="00F7687F" w:rsidP="00F7687F">
      <w:pPr>
        <w:pStyle w:val="StilBulletCrtica"/>
        <w:numPr>
          <w:ilvl w:val="0"/>
          <w:numId w:val="4"/>
        </w:numPr>
        <w:ind w:left="1134" w:hanging="567"/>
        <w:textAlignment w:val="auto"/>
      </w:pPr>
      <w:r>
        <w:t xml:space="preserve">provjeriti istinitost i vjerodostojnost financijskih izvještaja </w:t>
      </w:r>
    </w:p>
    <w:p w:rsidR="00F7687F" w:rsidRDefault="00F7687F" w:rsidP="00F7687F">
      <w:pPr>
        <w:pStyle w:val="StilBulletCrtica"/>
        <w:numPr>
          <w:ilvl w:val="0"/>
          <w:numId w:val="4"/>
        </w:numPr>
        <w:ind w:left="1134" w:hanging="567"/>
        <w:textAlignment w:val="auto"/>
      </w:pPr>
      <w:r>
        <w:t xml:space="preserve">provjeriti usklađenost poslovanja sa zakonima i drugim propisima koji imaju značajan utjecaj na poslovanje </w:t>
      </w:r>
    </w:p>
    <w:p w:rsidR="00F7687F" w:rsidRDefault="00F7687F" w:rsidP="00F7687F">
      <w:pPr>
        <w:pStyle w:val="StilBulletCrtica"/>
        <w:numPr>
          <w:ilvl w:val="0"/>
          <w:numId w:val="4"/>
        </w:numPr>
        <w:ind w:left="1134" w:hanging="567"/>
        <w:textAlignment w:val="auto"/>
      </w:pPr>
      <w:r>
        <w:t>provjeriti druge aktivnosti u vezi s poslovanjem.</w:t>
      </w:r>
    </w:p>
    <w:p w:rsidR="00F7687F" w:rsidRDefault="00F7687F" w:rsidP="00F7687F"/>
    <w:p w:rsidR="00BE4077" w:rsidRPr="00BE4077" w:rsidRDefault="00F7687F" w:rsidP="00F7687F">
      <w:pPr>
        <w:ind w:firstLine="567"/>
      </w:pPr>
      <w:r>
        <w:t>O fina</w:t>
      </w:r>
      <w:r w:rsidR="009E6750">
        <w:t xml:space="preserve">ncijskim izvještajima i </w:t>
      </w:r>
      <w:r>
        <w:t xml:space="preserve">usklađenosti poslovanja društva izražena su </w:t>
      </w:r>
      <w:r>
        <w:rPr>
          <w:b/>
        </w:rPr>
        <w:t>bezuvjetna mišljenja</w:t>
      </w:r>
      <w:r w:rsidRPr="00910E88">
        <w:t>.</w:t>
      </w:r>
      <w:r>
        <w:rPr>
          <w:b/>
        </w:rPr>
        <w:t xml:space="preserve"> </w:t>
      </w:r>
      <w:r w:rsidR="00024A61">
        <w:t>O</w:t>
      </w:r>
      <w:r w:rsidR="00BE4077" w:rsidRPr="00BE4077">
        <w:t>bavljenom revizijom za 2023. nisu utvrđene nepravilnosti.</w:t>
      </w:r>
    </w:p>
    <w:p w:rsidR="00E61AB0" w:rsidRDefault="00E61AB0" w:rsidP="00D564DE">
      <w:pPr>
        <w:tabs>
          <w:tab w:val="left" w:pos="709"/>
          <w:tab w:val="left" w:pos="993"/>
        </w:tabs>
        <w:rPr>
          <w:rFonts w:cs="Arial"/>
          <w:b/>
        </w:rPr>
      </w:pPr>
    </w:p>
    <w:p w:rsidR="00E61AB0" w:rsidRDefault="00E61AB0" w:rsidP="00D564DE">
      <w:pPr>
        <w:tabs>
          <w:tab w:val="left" w:pos="709"/>
          <w:tab w:val="left" w:pos="993"/>
        </w:tabs>
        <w:rPr>
          <w:rFonts w:cs="Arial"/>
          <w:b/>
        </w:rPr>
      </w:pPr>
    </w:p>
    <w:p w:rsidR="0012295B" w:rsidRPr="00D564DE" w:rsidRDefault="0012295B" w:rsidP="00D564DE">
      <w:pPr>
        <w:tabs>
          <w:tab w:val="left" w:pos="709"/>
          <w:tab w:val="left" w:pos="993"/>
        </w:tabs>
        <w:rPr>
          <w:rFonts w:cs="Arial"/>
          <w:b/>
        </w:rPr>
      </w:pPr>
    </w:p>
    <w:p w:rsidR="0015280E" w:rsidRPr="0012295B" w:rsidRDefault="0015280E" w:rsidP="0015280E">
      <w:pPr>
        <w:widowControl/>
        <w:shd w:val="clear" w:color="auto" w:fill="BFBFBF" w:themeFill="background1" w:themeFillShade="BF"/>
        <w:ind w:firstLine="567"/>
        <w:rPr>
          <w:rFonts w:eastAsiaTheme="minorHAnsi" w:cs="Arial"/>
          <w:lang w:eastAsia="en-US"/>
        </w:rPr>
      </w:pPr>
      <w:r w:rsidRPr="0012295B">
        <w:rPr>
          <w:rFonts w:eastAsiaTheme="minorHAnsi" w:cs="Arial"/>
          <w:lang w:eastAsia="en-US"/>
        </w:rPr>
        <w:t>Neprofitne organizacije</w:t>
      </w:r>
    </w:p>
    <w:p w:rsidR="0015280E" w:rsidRDefault="0015280E" w:rsidP="0015280E">
      <w:pPr>
        <w:widowControl/>
        <w:ind w:firstLine="567"/>
        <w:rPr>
          <w:rFonts w:eastAsiaTheme="minorHAnsi" w:cs="Arial"/>
          <w:lang w:eastAsia="en-US"/>
        </w:rPr>
      </w:pPr>
    </w:p>
    <w:p w:rsidR="0015280E" w:rsidRDefault="0015280E" w:rsidP="0015280E">
      <w:pPr>
        <w:widowControl/>
        <w:ind w:firstLine="567"/>
        <w:rPr>
          <w:rFonts w:eastAsia="Calibri" w:cs="Arial"/>
          <w:lang w:eastAsia="en-US"/>
        </w:rPr>
      </w:pPr>
      <w:r>
        <w:rPr>
          <w:rFonts w:eastAsiaTheme="minorHAnsi" w:cs="Arial"/>
          <w:lang w:eastAsia="en-US"/>
        </w:rPr>
        <w:t xml:space="preserve">Revizijom </w:t>
      </w:r>
      <w:r>
        <w:rPr>
          <w:rFonts w:eastAsia="Calibri" w:cs="Arial"/>
          <w:b/>
          <w:lang w:eastAsia="en-US"/>
        </w:rPr>
        <w:t xml:space="preserve">Sportske zajednice Grada Labina i Hrvatskog teniskog saveza </w:t>
      </w:r>
      <w:r w:rsidR="00910E88">
        <w:rPr>
          <w:rFonts w:eastAsia="Calibri" w:cs="Arial"/>
          <w:lang w:eastAsia="en-US"/>
        </w:rPr>
        <w:t>obuhvaćeni su financijski izvještaji</w:t>
      </w:r>
      <w:r>
        <w:rPr>
          <w:rFonts w:eastAsia="Calibri" w:cs="Arial"/>
          <w:lang w:eastAsia="en-US"/>
        </w:rPr>
        <w:t xml:space="preserve"> i poslovanje za 2023.</w:t>
      </w:r>
      <w:r>
        <w:rPr>
          <w:rFonts w:eastAsia="Calibri" w:cs="Arial"/>
          <w:b/>
          <w:lang w:eastAsia="en-US"/>
        </w:rPr>
        <w:t xml:space="preserve"> </w:t>
      </w:r>
      <w:r>
        <w:rPr>
          <w:rFonts w:eastAsia="Calibri" w:cs="Arial"/>
          <w:lang w:eastAsia="en-US"/>
        </w:rPr>
        <w:t>(</w:t>
      </w:r>
      <w:r>
        <w:rPr>
          <w:rFonts w:eastAsia="Calibri" w:cs="Arial"/>
          <w:i/>
          <w:lang w:eastAsia="en-US"/>
        </w:rPr>
        <w:t>revizije su obavljane prvi put</w:t>
      </w:r>
      <w:r>
        <w:rPr>
          <w:rFonts w:eastAsia="Calibri" w:cs="Arial"/>
          <w:lang w:eastAsia="en-US"/>
        </w:rPr>
        <w:t>).</w:t>
      </w:r>
    </w:p>
    <w:p w:rsidR="0015280E" w:rsidRDefault="0015280E" w:rsidP="0015280E">
      <w:pPr>
        <w:widowControl/>
        <w:ind w:firstLine="567"/>
        <w:rPr>
          <w:rFonts w:eastAsia="Calibri" w:cs="Arial"/>
          <w:lang w:eastAsia="en-US"/>
        </w:rPr>
      </w:pPr>
      <w:r>
        <w:rPr>
          <w:rFonts w:eastAsia="Calibri" w:cs="Arial"/>
          <w:lang w:eastAsia="en-US"/>
        </w:rPr>
        <w:t>O financijskim izvještajima Sportske zaj</w:t>
      </w:r>
      <w:r w:rsidR="00386DB0">
        <w:rPr>
          <w:rFonts w:eastAsia="Calibri" w:cs="Arial"/>
          <w:lang w:eastAsia="en-US"/>
        </w:rPr>
        <w:t>ednice Grada Labina izraženo je</w:t>
      </w:r>
      <w:r>
        <w:rPr>
          <w:rFonts w:eastAsia="Calibri" w:cs="Arial"/>
          <w:lang w:eastAsia="en-US"/>
        </w:rPr>
        <w:t xml:space="preserve"> bezuvjetno mišljenje, a o usklađenosti poslovanja uvjetno mišljenje. O financijskim izvještajima i usklađenosti poslovanja Hrvatskog teniskog saveza i</w:t>
      </w:r>
      <w:r w:rsidR="00386DB0">
        <w:rPr>
          <w:rFonts w:eastAsia="Calibri" w:cs="Arial"/>
          <w:lang w:eastAsia="en-US"/>
        </w:rPr>
        <w:t>zražena su</w:t>
      </w:r>
      <w:r w:rsidR="009C2FEB">
        <w:rPr>
          <w:rFonts w:eastAsia="Calibri" w:cs="Arial"/>
          <w:lang w:eastAsia="en-US"/>
        </w:rPr>
        <w:t xml:space="preserve"> uvjetna mišljenja.</w:t>
      </w:r>
    </w:p>
    <w:p w:rsidR="0012295B" w:rsidRDefault="0012295B" w:rsidP="0015280E">
      <w:pPr>
        <w:widowControl/>
        <w:ind w:firstLine="567"/>
        <w:rPr>
          <w:rFonts w:eastAsia="Calibri" w:cs="Arial"/>
          <w:lang w:eastAsia="en-US"/>
        </w:rPr>
      </w:pPr>
    </w:p>
    <w:p w:rsidR="0012295B" w:rsidRDefault="0012295B" w:rsidP="0015280E">
      <w:pPr>
        <w:widowControl/>
        <w:ind w:firstLine="567"/>
        <w:rPr>
          <w:rFonts w:eastAsia="Calibri" w:cs="Arial"/>
          <w:lang w:eastAsia="en-US"/>
        </w:rPr>
      </w:pPr>
    </w:p>
    <w:p w:rsidR="0012295B" w:rsidRDefault="0012295B" w:rsidP="0015280E">
      <w:pPr>
        <w:widowControl/>
        <w:ind w:firstLine="567"/>
        <w:rPr>
          <w:rFonts w:eastAsia="Calibri" w:cs="Arial"/>
          <w:lang w:eastAsia="en-US"/>
        </w:rPr>
      </w:pPr>
    </w:p>
    <w:p w:rsidR="0015280E" w:rsidRDefault="0015280E" w:rsidP="0015280E">
      <w:pPr>
        <w:widowControl/>
        <w:ind w:firstLine="567"/>
        <w:rPr>
          <w:szCs w:val="20"/>
        </w:rPr>
      </w:pPr>
      <w:r>
        <w:rPr>
          <w:rFonts w:eastAsia="Calibri" w:cs="Arial"/>
          <w:lang w:eastAsia="en-US"/>
        </w:rPr>
        <w:lastRenderedPageBreak/>
        <w:t>N</w:t>
      </w:r>
      <w:r w:rsidR="009D2199">
        <w:rPr>
          <w:rFonts w:eastAsia="Calibri" w:cs="Arial"/>
          <w:lang w:eastAsia="en-US"/>
        </w:rPr>
        <w:t>epravilnosti i propusti utvrđeni</w:t>
      </w:r>
      <w:r>
        <w:rPr>
          <w:rFonts w:eastAsia="Calibri" w:cs="Arial"/>
          <w:lang w:eastAsia="en-US"/>
        </w:rPr>
        <w:t xml:space="preserve"> su u okviru </w:t>
      </w:r>
      <w:r w:rsidR="006B4106">
        <w:rPr>
          <w:rFonts w:eastAsia="Calibri" w:cs="Arial"/>
          <w:lang w:eastAsia="en-US"/>
        </w:rPr>
        <w:t xml:space="preserve">sljedećih </w:t>
      </w:r>
      <w:r>
        <w:rPr>
          <w:rFonts w:eastAsia="Calibri" w:cs="Arial"/>
          <w:lang w:eastAsia="en-US"/>
        </w:rPr>
        <w:t xml:space="preserve">područja: </w:t>
      </w:r>
      <w:r>
        <w:t>djelokrug i unutarnje ustrojstvo, sustav unutarnjih kontrola, planiranje, računovodstveno poslovanje, financijski izvještaji, rashodi te javna nabava (</w:t>
      </w:r>
      <w:r>
        <w:rPr>
          <w:i/>
        </w:rPr>
        <w:t xml:space="preserve">Hrvatski teniski savez </w:t>
      </w:r>
      <w:r>
        <w:rPr>
          <w:rFonts w:eastAsia="Calibri" w:cstheme="minorBidi"/>
          <w:bCs/>
          <w:i/>
          <w:iCs/>
          <w:lang w:eastAsia="en-US"/>
        </w:rPr>
        <w:t>nije bio</w:t>
      </w:r>
      <w:r w:rsidR="006B4106">
        <w:rPr>
          <w:rFonts w:eastAsia="Calibri" w:cstheme="minorBidi"/>
          <w:bCs/>
          <w:i/>
          <w:iCs/>
          <w:lang w:eastAsia="en-US"/>
        </w:rPr>
        <w:t xml:space="preserve"> obveznik javne nabave za 2023.</w:t>
      </w:r>
      <w:r>
        <w:rPr>
          <w:rFonts w:eastAsia="Calibri" w:cstheme="minorBidi"/>
          <w:bCs/>
          <w:i/>
          <w:iCs/>
          <w:lang w:eastAsia="en-US"/>
        </w:rPr>
        <w:t xml:space="preserve"> jer ga u iznosu većem od 50,0 % n</w:t>
      </w:r>
      <w:r w:rsidR="006B4106">
        <w:rPr>
          <w:rFonts w:eastAsia="Calibri" w:cstheme="minorBidi"/>
          <w:bCs/>
          <w:i/>
          <w:iCs/>
          <w:lang w:eastAsia="en-US"/>
        </w:rPr>
        <w:t>ije financirao javni naručitelj</w:t>
      </w:r>
      <w:r>
        <w:rPr>
          <w:rFonts w:eastAsia="Calibri" w:cstheme="minorBidi"/>
          <w:bCs/>
          <w:i/>
          <w:iCs/>
          <w:lang w:eastAsia="en-US"/>
        </w:rPr>
        <w:t xml:space="preserve"> niti je bio podložan upravljačkom nadzoru od strane javnog naručitelja</w:t>
      </w:r>
      <w:r>
        <w:rPr>
          <w:rFonts w:eastAsia="Calibri" w:cs="Arial"/>
          <w:lang w:eastAsia="en-US"/>
        </w:rPr>
        <w:t>).</w:t>
      </w:r>
    </w:p>
    <w:p w:rsidR="0015280E" w:rsidRDefault="0015280E" w:rsidP="0015280E">
      <w:pPr>
        <w:widowControl/>
        <w:ind w:firstLine="567"/>
        <w:rPr>
          <w:rFonts w:ascii="Times New Roman" w:eastAsiaTheme="minorHAnsi" w:hAnsi="Times New Roman" w:cstheme="minorBidi"/>
          <w:color w:val="1F497D" w:themeColor="text2"/>
          <w:sz w:val="22"/>
          <w:szCs w:val="22"/>
          <w:lang w:eastAsia="en-US"/>
        </w:rPr>
      </w:pPr>
      <w:r>
        <w:rPr>
          <w:rFonts w:eastAsia="Calibri" w:cs="Arial"/>
          <w:lang w:eastAsia="en-US"/>
        </w:rPr>
        <w:t>Za utvrđene nepravilnosti i propuste</w:t>
      </w:r>
      <w:r w:rsidR="006B4EB7">
        <w:rPr>
          <w:rFonts w:eastAsia="Calibri" w:cs="Arial"/>
          <w:lang w:eastAsia="en-US"/>
        </w:rPr>
        <w:t xml:space="preserve"> ovim subjektima je dan </w:t>
      </w:r>
      <w:r>
        <w:rPr>
          <w:rFonts w:eastAsia="Calibri" w:cs="Arial"/>
          <w:lang w:eastAsia="en-US"/>
        </w:rPr>
        <w:t xml:space="preserve">sveukupno </w:t>
      </w:r>
      <w:r w:rsidRPr="00CE7F6A">
        <w:rPr>
          <w:rFonts w:eastAsia="Calibri" w:cs="Arial"/>
          <w:b/>
          <w:lang w:eastAsia="en-US"/>
        </w:rPr>
        <w:t>21 nalog i preporuka</w:t>
      </w:r>
      <w:r>
        <w:rPr>
          <w:rFonts w:eastAsia="Calibri" w:cs="Arial"/>
          <w:lang w:eastAsia="en-US"/>
        </w:rPr>
        <w:t>.</w:t>
      </w:r>
    </w:p>
    <w:p w:rsidR="0015280E" w:rsidRDefault="0015280E" w:rsidP="0015280E"/>
    <w:p w:rsidR="0015280E" w:rsidRDefault="0015280E" w:rsidP="0012295B">
      <w:pPr>
        <w:tabs>
          <w:tab w:val="left" w:pos="567"/>
          <w:tab w:val="left" w:pos="709"/>
          <w:tab w:val="left" w:pos="993"/>
        </w:tabs>
        <w:rPr>
          <w:rFonts w:cs="Arial"/>
          <w:b/>
        </w:rPr>
      </w:pPr>
    </w:p>
    <w:p w:rsidR="0015280E" w:rsidRDefault="0015280E" w:rsidP="0059415C">
      <w:pPr>
        <w:pBdr>
          <w:bottom w:val="single" w:sz="4" w:space="1" w:color="auto"/>
        </w:pBdr>
        <w:tabs>
          <w:tab w:val="left" w:pos="709"/>
          <w:tab w:val="left" w:pos="993"/>
        </w:tabs>
        <w:rPr>
          <w:rFonts w:cs="Arial"/>
          <w:b/>
        </w:rPr>
      </w:pPr>
    </w:p>
    <w:p w:rsidR="00B171FE" w:rsidRDefault="00C82712" w:rsidP="00A22E43">
      <w:pPr>
        <w:tabs>
          <w:tab w:val="left" w:pos="567"/>
        </w:tabs>
      </w:pPr>
      <w:r>
        <w:rPr>
          <w:b/>
        </w:rPr>
        <w:tab/>
      </w:r>
    </w:p>
    <w:p w:rsidR="00B171FE" w:rsidRDefault="00622F6F" w:rsidP="007145AC">
      <w:pPr>
        <w:tabs>
          <w:tab w:val="left" w:pos="567"/>
        </w:tabs>
        <w:ind w:firstLine="567"/>
      </w:pPr>
      <w:r>
        <w:t xml:space="preserve">Osoba za kontakt: </w:t>
      </w:r>
      <w:r w:rsidR="00B171FE">
        <w:t xml:space="preserve">Josipa Maraković, načelnica Odjela za odnose s javnošću, </w:t>
      </w:r>
    </w:p>
    <w:p w:rsidR="00B171FE" w:rsidRDefault="00B171FE" w:rsidP="00B171FE">
      <w:r>
        <w:t xml:space="preserve">e-adresa: </w:t>
      </w:r>
      <w:hyperlink r:id="rId10" w:history="1">
        <w:r w:rsidR="00EC7A2F" w:rsidRPr="002704CC">
          <w:rPr>
            <w:rStyle w:val="Hiperveza"/>
          </w:rPr>
          <w:t>josipa.marakovic@revizija.hr</w:t>
        </w:r>
      </w:hyperlink>
      <w:r>
        <w:t>, tel.: 46 27 858, mob.: 095 67 02 594.</w:t>
      </w:r>
    </w:p>
    <w:p w:rsidR="00B171FE" w:rsidRDefault="00B171FE" w:rsidP="00B171FE">
      <w:pPr>
        <w:jc w:val="left"/>
      </w:pPr>
    </w:p>
    <w:p w:rsidR="00B171FE" w:rsidRDefault="00B171FE" w:rsidP="00B171FE">
      <w:pPr>
        <w:jc w:val="left"/>
      </w:pPr>
    </w:p>
    <w:p w:rsidR="00B171FE" w:rsidRDefault="00B171FE" w:rsidP="00B171FE">
      <w:pPr>
        <w:jc w:val="left"/>
      </w:pPr>
    </w:p>
    <w:p w:rsidR="00B171FE" w:rsidRDefault="00B171FE" w:rsidP="00B171FE">
      <w:r>
        <w:tab/>
      </w:r>
      <w:r>
        <w:tab/>
      </w:r>
      <w:r>
        <w:tab/>
      </w:r>
      <w:r>
        <w:tab/>
      </w:r>
      <w:r>
        <w:tab/>
        <w:t>NAČELNICA ODJELA ZA ODNOSE S JAVNOŠĆU</w:t>
      </w:r>
    </w:p>
    <w:p w:rsidR="00B171FE" w:rsidRDefault="00B171FE" w:rsidP="00B171FE">
      <w:r>
        <w:tab/>
      </w:r>
      <w:r>
        <w:tab/>
      </w:r>
      <w:r>
        <w:tab/>
      </w:r>
      <w:r>
        <w:tab/>
      </w:r>
      <w:r>
        <w:tab/>
      </w:r>
      <w:r>
        <w:tab/>
      </w:r>
    </w:p>
    <w:p w:rsidR="00B171FE" w:rsidRDefault="00560B93" w:rsidP="00B171FE">
      <w:r>
        <w:t xml:space="preserve">  </w:t>
      </w:r>
    </w:p>
    <w:p w:rsidR="0015280E" w:rsidRDefault="00023F98" w:rsidP="00B171FE">
      <w:r>
        <w:tab/>
      </w:r>
      <w:r>
        <w:tab/>
      </w:r>
      <w:r>
        <w:tab/>
      </w:r>
      <w:r>
        <w:tab/>
      </w:r>
      <w:r>
        <w:tab/>
      </w:r>
      <w:r>
        <w:tab/>
      </w:r>
      <w:r w:rsidR="00CA1941">
        <w:t xml:space="preserve">  </w:t>
      </w:r>
      <w:r>
        <w:t xml:space="preserve"> </w:t>
      </w:r>
      <w:r w:rsidR="00CD48B6">
        <w:t xml:space="preserve">Josipa Maraković, dipl. </w:t>
      </w:r>
      <w:proofErr w:type="spellStart"/>
      <w:r w:rsidR="00CD48B6">
        <w:t>oec</w:t>
      </w:r>
      <w:proofErr w:type="spellEnd"/>
      <w:r w:rsidR="000864A3">
        <w:t>.</w:t>
      </w:r>
      <w:r>
        <w:t xml:space="preserve">, </w:t>
      </w:r>
    </w:p>
    <w:p w:rsidR="00B171FE" w:rsidRDefault="00292BF1" w:rsidP="0015280E">
      <w:pPr>
        <w:ind w:left="4254"/>
      </w:pPr>
      <w:r>
        <w:t xml:space="preserve">     </w:t>
      </w:r>
      <w:r w:rsidR="00CA1941">
        <w:t xml:space="preserve"> </w:t>
      </w:r>
      <w:proofErr w:type="spellStart"/>
      <w:r w:rsidR="0015280E" w:rsidRPr="0015280E">
        <w:t>univ</w:t>
      </w:r>
      <w:proofErr w:type="spellEnd"/>
      <w:r w:rsidR="0015280E" w:rsidRPr="0015280E">
        <w:t xml:space="preserve">. </w:t>
      </w:r>
      <w:proofErr w:type="spellStart"/>
      <w:r w:rsidR="0015280E" w:rsidRPr="0015280E">
        <w:t>spec</w:t>
      </w:r>
      <w:proofErr w:type="spellEnd"/>
      <w:r w:rsidR="0015280E" w:rsidRPr="0015280E">
        <w:t xml:space="preserve">. </w:t>
      </w:r>
      <w:proofErr w:type="spellStart"/>
      <w:r w:rsidR="0015280E" w:rsidRPr="0015280E">
        <w:t>rel</w:t>
      </w:r>
      <w:proofErr w:type="spellEnd"/>
      <w:r w:rsidR="0015280E" w:rsidRPr="0015280E">
        <w:t xml:space="preserve">. </w:t>
      </w:r>
      <w:proofErr w:type="spellStart"/>
      <w:r w:rsidR="0015280E" w:rsidRPr="0015280E">
        <w:t>publ</w:t>
      </w:r>
      <w:proofErr w:type="spellEnd"/>
      <w:r w:rsidR="0015280E" w:rsidRPr="0015280E">
        <w:t>.</w:t>
      </w:r>
      <w:r>
        <w:t>, v. r.</w:t>
      </w:r>
    </w:p>
    <w:p w:rsidR="005A514F" w:rsidRDefault="005A514F" w:rsidP="00B171FE"/>
    <w:p w:rsidR="005A514F" w:rsidRDefault="005A514F" w:rsidP="00B171FE"/>
    <w:p w:rsidR="005A514F" w:rsidRDefault="005A514F" w:rsidP="00B171FE"/>
    <w:p w:rsidR="005A514F" w:rsidRDefault="005A514F" w:rsidP="00B171FE"/>
    <w:p w:rsidR="005A514F" w:rsidRDefault="005A514F" w:rsidP="00B171FE"/>
    <w:p w:rsidR="005A514F" w:rsidRDefault="005A514F" w:rsidP="00B171FE"/>
    <w:p w:rsidR="005A514F" w:rsidRDefault="005A514F" w:rsidP="00B171FE"/>
    <w:p w:rsidR="00D822EA" w:rsidRDefault="00D822EA" w:rsidP="00B171FE"/>
    <w:p w:rsidR="00D822EA" w:rsidRDefault="00D822EA" w:rsidP="00B171FE"/>
    <w:p w:rsidR="00D822EA" w:rsidRDefault="00D822EA" w:rsidP="00B171FE"/>
    <w:p w:rsidR="00D822EA" w:rsidRDefault="00D822EA" w:rsidP="00B171FE"/>
    <w:p w:rsidR="00D822EA" w:rsidRDefault="00D822EA" w:rsidP="00B171FE"/>
    <w:p w:rsidR="00D822EA" w:rsidRDefault="00D822EA" w:rsidP="00B171FE"/>
    <w:p w:rsidR="00D822EA" w:rsidRDefault="00D822EA" w:rsidP="00B171FE"/>
    <w:p w:rsidR="00D822EA" w:rsidRDefault="00D822EA" w:rsidP="00B171FE"/>
    <w:p w:rsidR="00D822EA" w:rsidRDefault="00D822EA" w:rsidP="00B171FE"/>
    <w:p w:rsidR="00D822EA" w:rsidRDefault="00D822EA" w:rsidP="00B171FE"/>
    <w:p w:rsidR="00D822EA" w:rsidRDefault="00D822EA" w:rsidP="00B171FE"/>
    <w:p w:rsidR="00D822EA" w:rsidRDefault="00D822EA" w:rsidP="00B171FE"/>
    <w:p w:rsidR="00D822EA" w:rsidRDefault="00D822EA" w:rsidP="00B171FE"/>
    <w:p w:rsidR="00D822EA" w:rsidRDefault="00D822EA" w:rsidP="00B171FE"/>
    <w:p w:rsidR="00D822EA" w:rsidRDefault="00D822EA" w:rsidP="00B171FE"/>
    <w:p w:rsidR="00D822EA" w:rsidRDefault="00D822EA" w:rsidP="00B171FE"/>
    <w:p w:rsidR="00D822EA" w:rsidRDefault="00D822EA" w:rsidP="00B171FE"/>
    <w:p w:rsidR="00D822EA" w:rsidRDefault="00D822EA" w:rsidP="00B171FE"/>
    <w:p w:rsidR="00D822EA" w:rsidRDefault="00D822EA" w:rsidP="00B171FE"/>
    <w:p w:rsidR="00D822EA" w:rsidRDefault="00D822EA" w:rsidP="00B171FE"/>
    <w:p w:rsidR="00D822EA" w:rsidRDefault="00D822EA" w:rsidP="00B171FE"/>
    <w:p w:rsidR="00D822EA" w:rsidRDefault="00D822EA" w:rsidP="00B171FE"/>
    <w:p w:rsidR="00D822EA" w:rsidRDefault="00D822EA" w:rsidP="00B171FE"/>
    <w:p w:rsidR="00D822EA" w:rsidRDefault="00D822EA" w:rsidP="00B171FE"/>
    <w:p w:rsidR="000567E0" w:rsidRPr="000567E0" w:rsidRDefault="002722F7" w:rsidP="000567E0">
      <w:pPr>
        <w:jc w:val="left"/>
        <w:rPr>
          <w:rFonts w:cs="Arial"/>
        </w:rPr>
      </w:pPr>
      <w:r>
        <w:rPr>
          <w:rFonts w:cs="Arial"/>
          <w:u w:val="single"/>
        </w:rPr>
        <w:lastRenderedPageBreak/>
        <w:t>P</w:t>
      </w:r>
      <w:r w:rsidR="000567E0" w:rsidRPr="000567E0">
        <w:rPr>
          <w:rFonts w:cs="Arial"/>
          <w:u w:val="single"/>
        </w:rPr>
        <w:t>rivitak:</w:t>
      </w:r>
      <w:r w:rsidR="000567E0" w:rsidRPr="000567E0">
        <w:rPr>
          <w:rFonts w:cs="Arial"/>
        </w:rPr>
        <w:t xml:space="preserve"> </w:t>
      </w:r>
    </w:p>
    <w:p w:rsidR="00C13714" w:rsidRPr="004A4504" w:rsidRDefault="000567E0" w:rsidP="000567E0">
      <w:pPr>
        <w:jc w:val="left"/>
        <w:rPr>
          <w:rFonts w:cs="Arial"/>
        </w:rPr>
      </w:pPr>
      <w:r w:rsidRPr="004A4504">
        <w:rPr>
          <w:rFonts w:cs="Arial"/>
        </w:rPr>
        <w:t xml:space="preserve">Izražena mišljenja u izvješćima o obavljenoj reviziji dostavljenima </w:t>
      </w:r>
    </w:p>
    <w:p w:rsidR="000567E0" w:rsidRPr="000567E0" w:rsidRDefault="000567E0" w:rsidP="000567E0">
      <w:pPr>
        <w:jc w:val="left"/>
        <w:rPr>
          <w:rFonts w:cs="Arial"/>
        </w:rPr>
      </w:pPr>
      <w:r w:rsidRPr="004A4504">
        <w:rPr>
          <w:rFonts w:cs="Arial"/>
        </w:rPr>
        <w:t>Hrvatskom saboru 13. lipnja 2025.</w:t>
      </w:r>
    </w:p>
    <w:p w:rsidR="000567E0" w:rsidRPr="000567E0" w:rsidRDefault="000567E0" w:rsidP="000567E0">
      <w:pPr>
        <w:jc w:val="left"/>
        <w:rPr>
          <w:rFonts w:cs="Arial"/>
        </w:rPr>
      </w:pPr>
    </w:p>
    <w:p w:rsidR="000567E0" w:rsidRPr="000567E0" w:rsidRDefault="000567E0" w:rsidP="000567E0">
      <w:pPr>
        <w:jc w:val="left"/>
        <w:rPr>
          <w:rFonts w:cs="Arial"/>
        </w:rPr>
      </w:pPr>
    </w:p>
    <w:p w:rsidR="000567E0" w:rsidRPr="000567E0" w:rsidRDefault="000567E0" w:rsidP="000567E0">
      <w:pPr>
        <w:rPr>
          <w:rFonts w:cs="Arial"/>
          <w:b/>
        </w:rPr>
      </w:pPr>
      <w:r w:rsidRPr="000567E0">
        <w:rPr>
          <w:rFonts w:cs="Arial"/>
          <w:b/>
        </w:rPr>
        <w:t xml:space="preserve">FINANCIJSKE REVIZIJE </w:t>
      </w:r>
    </w:p>
    <w:p w:rsidR="000567E0" w:rsidRPr="000567E0" w:rsidRDefault="000567E0" w:rsidP="000567E0">
      <w:pPr>
        <w:rPr>
          <w:rFonts w:cs="Arial"/>
          <w:i/>
          <w:sz w:val="22"/>
          <w:szCs w:val="22"/>
        </w:rPr>
      </w:pPr>
      <w:r w:rsidRPr="000567E0">
        <w:rPr>
          <w:rFonts w:cs="Arial"/>
          <w:i/>
          <w:sz w:val="22"/>
          <w:szCs w:val="22"/>
        </w:rPr>
        <w:t>(mišljenja: bezuvjetno; uvjetno; suzdržano; nepovoljno)</w:t>
      </w:r>
    </w:p>
    <w:p w:rsidR="000567E0" w:rsidRPr="000567E0" w:rsidRDefault="000567E0" w:rsidP="000567E0">
      <w:pPr>
        <w:jc w:val="left"/>
        <w:rPr>
          <w:rFonts w:cs="Arial"/>
          <w:sz w:val="22"/>
          <w:szCs w:val="22"/>
        </w:rPr>
      </w:pPr>
    </w:p>
    <w:p w:rsidR="000567E0" w:rsidRPr="000567E0" w:rsidRDefault="000567E0" w:rsidP="000567E0">
      <w:pPr>
        <w:jc w:val="left"/>
        <w:rPr>
          <w:rFonts w:cs="Arial"/>
          <w:sz w:val="22"/>
          <w:szCs w:val="22"/>
        </w:rPr>
      </w:pPr>
    </w:p>
    <w:tbl>
      <w:tblPr>
        <w:tblStyle w:val="Reetkatablice1"/>
        <w:tblW w:w="0" w:type="auto"/>
        <w:tblInd w:w="0" w:type="dxa"/>
        <w:tblLook w:val="04A0" w:firstRow="1" w:lastRow="0" w:firstColumn="1" w:lastColumn="0" w:noHBand="0" w:noVBand="1"/>
      </w:tblPr>
      <w:tblGrid>
        <w:gridCol w:w="870"/>
        <w:gridCol w:w="5750"/>
        <w:gridCol w:w="1457"/>
        <w:gridCol w:w="1551"/>
      </w:tblGrid>
      <w:tr w:rsidR="000567E0" w:rsidRPr="000567E0" w:rsidTr="007D7978">
        <w:trPr>
          <w:trHeight w:val="320"/>
          <w:tblHeader/>
        </w:trPr>
        <w:tc>
          <w:tcPr>
            <w:tcW w:w="870" w:type="dxa"/>
            <w:vMerge w:val="restart"/>
            <w:shd w:val="clear" w:color="auto" w:fill="DBE5F1" w:themeFill="accent1" w:themeFillTint="33"/>
            <w:vAlign w:val="center"/>
            <w:hideMark/>
          </w:tcPr>
          <w:p w:rsidR="000567E0" w:rsidRPr="000567E0" w:rsidRDefault="000567E0" w:rsidP="000567E0">
            <w:pPr>
              <w:rPr>
                <w:rFonts w:cs="Arial"/>
              </w:rPr>
            </w:pPr>
            <w:r w:rsidRPr="000567E0">
              <w:rPr>
                <w:rFonts w:cs="Arial"/>
              </w:rPr>
              <w:t>Redni broj</w:t>
            </w:r>
          </w:p>
        </w:tc>
        <w:tc>
          <w:tcPr>
            <w:tcW w:w="5750" w:type="dxa"/>
            <w:vMerge w:val="restart"/>
            <w:shd w:val="clear" w:color="auto" w:fill="DBE5F1" w:themeFill="accent1" w:themeFillTint="33"/>
            <w:vAlign w:val="center"/>
            <w:hideMark/>
          </w:tcPr>
          <w:p w:rsidR="000567E0" w:rsidRPr="000567E0" w:rsidRDefault="000567E0" w:rsidP="000567E0">
            <w:pPr>
              <w:rPr>
                <w:rFonts w:cs="Arial"/>
              </w:rPr>
            </w:pPr>
            <w:r w:rsidRPr="000567E0">
              <w:rPr>
                <w:rFonts w:cs="Arial"/>
              </w:rPr>
              <w:t xml:space="preserve">Naziv </w:t>
            </w:r>
            <w:r w:rsidR="00DA0E2F">
              <w:rPr>
                <w:rFonts w:cs="Arial"/>
              </w:rPr>
              <w:t>revizije</w:t>
            </w:r>
            <w:r w:rsidR="00907649">
              <w:rPr>
                <w:rFonts w:cs="Arial"/>
              </w:rPr>
              <w:t xml:space="preserve"> </w:t>
            </w:r>
            <w:r w:rsidR="00DA0E2F">
              <w:rPr>
                <w:rFonts w:cs="Arial"/>
              </w:rPr>
              <w:t>/</w:t>
            </w:r>
            <w:r w:rsidR="00907649">
              <w:rPr>
                <w:rFonts w:cs="Arial"/>
              </w:rPr>
              <w:t xml:space="preserve"> </w:t>
            </w:r>
            <w:r w:rsidRPr="000567E0">
              <w:rPr>
                <w:rFonts w:cs="Arial"/>
              </w:rPr>
              <w:t>subjekta</w:t>
            </w:r>
          </w:p>
        </w:tc>
        <w:tc>
          <w:tcPr>
            <w:tcW w:w="3008" w:type="dxa"/>
            <w:gridSpan w:val="2"/>
            <w:shd w:val="clear" w:color="auto" w:fill="DBE5F1" w:themeFill="accent1" w:themeFillTint="33"/>
            <w:vAlign w:val="center"/>
            <w:hideMark/>
          </w:tcPr>
          <w:p w:rsidR="000567E0" w:rsidRPr="000567E0" w:rsidRDefault="000567E0" w:rsidP="000567E0">
            <w:pPr>
              <w:jc w:val="center"/>
              <w:rPr>
                <w:rFonts w:cs="Arial"/>
              </w:rPr>
            </w:pPr>
            <w:r w:rsidRPr="000567E0">
              <w:rPr>
                <w:rFonts w:cs="Arial"/>
              </w:rPr>
              <w:t>Mišljenje o</w:t>
            </w:r>
          </w:p>
        </w:tc>
      </w:tr>
      <w:tr w:rsidR="000567E0" w:rsidRPr="000567E0" w:rsidTr="007D7978">
        <w:trPr>
          <w:trHeight w:val="630"/>
          <w:tblHeader/>
        </w:trPr>
        <w:tc>
          <w:tcPr>
            <w:tcW w:w="870" w:type="dxa"/>
            <w:vMerge/>
            <w:shd w:val="clear" w:color="auto" w:fill="DBE5F1" w:themeFill="accent1" w:themeFillTint="33"/>
            <w:vAlign w:val="center"/>
            <w:hideMark/>
          </w:tcPr>
          <w:p w:rsidR="000567E0" w:rsidRPr="000567E0" w:rsidRDefault="000567E0" w:rsidP="000567E0">
            <w:pPr>
              <w:rPr>
                <w:rFonts w:cs="Arial"/>
              </w:rPr>
            </w:pPr>
          </w:p>
        </w:tc>
        <w:tc>
          <w:tcPr>
            <w:tcW w:w="5750" w:type="dxa"/>
            <w:vMerge/>
            <w:shd w:val="clear" w:color="auto" w:fill="DBE5F1" w:themeFill="accent1" w:themeFillTint="33"/>
            <w:vAlign w:val="center"/>
            <w:hideMark/>
          </w:tcPr>
          <w:p w:rsidR="000567E0" w:rsidRPr="000567E0" w:rsidRDefault="000567E0" w:rsidP="000567E0">
            <w:pPr>
              <w:rPr>
                <w:rFonts w:cs="Arial"/>
              </w:rPr>
            </w:pPr>
          </w:p>
        </w:tc>
        <w:tc>
          <w:tcPr>
            <w:tcW w:w="1457" w:type="dxa"/>
            <w:shd w:val="clear" w:color="auto" w:fill="DBE5F1" w:themeFill="accent1" w:themeFillTint="33"/>
            <w:vAlign w:val="center"/>
            <w:hideMark/>
          </w:tcPr>
          <w:p w:rsidR="000567E0" w:rsidRPr="000567E0" w:rsidRDefault="000567E0" w:rsidP="000567E0">
            <w:pPr>
              <w:jc w:val="center"/>
              <w:rPr>
                <w:rFonts w:cs="Arial"/>
              </w:rPr>
            </w:pPr>
            <w:r w:rsidRPr="000567E0">
              <w:rPr>
                <w:rFonts w:cs="Arial"/>
              </w:rPr>
              <w:t>financijskim izvještajima</w:t>
            </w:r>
          </w:p>
        </w:tc>
        <w:tc>
          <w:tcPr>
            <w:tcW w:w="1551" w:type="dxa"/>
            <w:shd w:val="clear" w:color="auto" w:fill="DBE5F1" w:themeFill="accent1" w:themeFillTint="33"/>
            <w:vAlign w:val="center"/>
            <w:hideMark/>
          </w:tcPr>
          <w:p w:rsidR="000567E0" w:rsidRPr="000567E0" w:rsidRDefault="000567E0" w:rsidP="000567E0">
            <w:pPr>
              <w:jc w:val="center"/>
              <w:rPr>
                <w:rFonts w:cs="Arial"/>
              </w:rPr>
            </w:pPr>
            <w:r w:rsidRPr="000567E0">
              <w:rPr>
                <w:rFonts w:cs="Arial"/>
              </w:rPr>
              <w:t>usklađenosti poslovanja</w:t>
            </w:r>
          </w:p>
        </w:tc>
      </w:tr>
      <w:tr w:rsidR="000567E0" w:rsidRPr="000567E0" w:rsidTr="000567E0">
        <w:trPr>
          <w:trHeight w:val="320"/>
        </w:trPr>
        <w:tc>
          <w:tcPr>
            <w:tcW w:w="870" w:type="dxa"/>
            <w:vAlign w:val="center"/>
          </w:tcPr>
          <w:p w:rsidR="000567E0" w:rsidRPr="000567E0" w:rsidRDefault="00C13714" w:rsidP="000567E0">
            <w:pPr>
              <w:jc w:val="center"/>
              <w:rPr>
                <w:rFonts w:cs="Arial"/>
              </w:rPr>
            </w:pPr>
            <w:r>
              <w:rPr>
                <w:rFonts w:cs="Arial"/>
              </w:rPr>
              <w:t>1.</w:t>
            </w:r>
          </w:p>
        </w:tc>
        <w:tc>
          <w:tcPr>
            <w:tcW w:w="5750" w:type="dxa"/>
            <w:vAlign w:val="center"/>
          </w:tcPr>
          <w:p w:rsidR="000567E0" w:rsidRPr="000567E0" w:rsidRDefault="001E155D" w:rsidP="000567E0">
            <w:pPr>
              <w:rPr>
                <w:rFonts w:cs="Arial"/>
              </w:rPr>
            </w:pPr>
            <w:r>
              <w:rPr>
                <w:rFonts w:cs="Arial"/>
              </w:rPr>
              <w:t>Godišnji izvještaj o izvršenju D</w:t>
            </w:r>
            <w:r w:rsidR="000567E0" w:rsidRPr="000567E0">
              <w:rPr>
                <w:rFonts w:cs="Arial"/>
              </w:rPr>
              <w:t>ržavnoga proračuna</w:t>
            </w:r>
            <w:r>
              <w:rPr>
                <w:rFonts w:cs="Arial"/>
              </w:rPr>
              <w:t xml:space="preserve"> R</w:t>
            </w:r>
            <w:r w:rsidR="0093740E">
              <w:rPr>
                <w:rFonts w:cs="Arial"/>
              </w:rPr>
              <w:t>epublike Hrvatske za 2024.</w:t>
            </w:r>
            <w:r w:rsidR="000567E0" w:rsidRPr="000567E0">
              <w:rPr>
                <w:rFonts w:cs="Arial"/>
              </w:rPr>
              <w:t xml:space="preserve">            </w:t>
            </w:r>
          </w:p>
        </w:tc>
        <w:tc>
          <w:tcPr>
            <w:tcW w:w="1457" w:type="dxa"/>
            <w:vAlign w:val="center"/>
          </w:tcPr>
          <w:p w:rsidR="000567E0" w:rsidRPr="000567E0" w:rsidRDefault="000567E0" w:rsidP="000567E0">
            <w:pPr>
              <w:jc w:val="center"/>
              <w:rPr>
                <w:rFonts w:cs="Arial"/>
              </w:rPr>
            </w:pPr>
            <w:r>
              <w:rPr>
                <w:rFonts w:cs="Arial"/>
              </w:rPr>
              <w:t>uvjetno</w:t>
            </w:r>
          </w:p>
        </w:tc>
        <w:tc>
          <w:tcPr>
            <w:tcW w:w="1551" w:type="dxa"/>
            <w:vAlign w:val="center"/>
          </w:tcPr>
          <w:p w:rsidR="000567E0" w:rsidRPr="000567E0" w:rsidRDefault="0040786C" w:rsidP="000567E0">
            <w:pPr>
              <w:jc w:val="center"/>
              <w:rPr>
                <w:rFonts w:cs="Arial"/>
              </w:rPr>
            </w:pPr>
            <w:r>
              <w:rPr>
                <w:rFonts w:cs="Arial"/>
              </w:rPr>
              <w:t>/</w:t>
            </w:r>
          </w:p>
        </w:tc>
      </w:tr>
      <w:tr w:rsidR="000567E0" w:rsidRPr="000567E0" w:rsidTr="000567E0">
        <w:trPr>
          <w:trHeight w:val="305"/>
        </w:trPr>
        <w:tc>
          <w:tcPr>
            <w:tcW w:w="9628" w:type="dxa"/>
            <w:gridSpan w:val="4"/>
            <w:shd w:val="clear" w:color="auto" w:fill="DBE5F1" w:themeFill="accent1" w:themeFillTint="33"/>
            <w:vAlign w:val="center"/>
          </w:tcPr>
          <w:p w:rsidR="000567E0" w:rsidRPr="000567E0" w:rsidRDefault="00AA013D" w:rsidP="000567E0">
            <w:pPr>
              <w:jc w:val="left"/>
              <w:rPr>
                <w:rFonts w:cs="Arial"/>
              </w:rPr>
            </w:pPr>
            <w:r>
              <w:rPr>
                <w:rFonts w:cs="Arial"/>
              </w:rPr>
              <w:t xml:space="preserve">             </w:t>
            </w:r>
            <w:r w:rsidR="000567E0">
              <w:rPr>
                <w:rFonts w:cs="Arial"/>
              </w:rPr>
              <w:t>Proračunski korisnik državnoga proračuna</w:t>
            </w:r>
          </w:p>
        </w:tc>
      </w:tr>
      <w:tr w:rsidR="000567E0" w:rsidRPr="000567E0" w:rsidTr="007D7978">
        <w:trPr>
          <w:trHeight w:val="320"/>
        </w:trPr>
        <w:tc>
          <w:tcPr>
            <w:tcW w:w="870" w:type="dxa"/>
            <w:vAlign w:val="center"/>
            <w:hideMark/>
          </w:tcPr>
          <w:p w:rsidR="000567E0" w:rsidRPr="000567E0" w:rsidRDefault="00EA3206" w:rsidP="000567E0">
            <w:pPr>
              <w:jc w:val="center"/>
              <w:rPr>
                <w:rFonts w:cs="Arial"/>
              </w:rPr>
            </w:pPr>
            <w:r>
              <w:rPr>
                <w:rFonts w:cs="Arial"/>
              </w:rPr>
              <w:t>1.</w:t>
            </w:r>
          </w:p>
        </w:tc>
        <w:tc>
          <w:tcPr>
            <w:tcW w:w="5750" w:type="dxa"/>
            <w:vAlign w:val="center"/>
          </w:tcPr>
          <w:p w:rsidR="000567E0" w:rsidRPr="000567E0" w:rsidRDefault="00EA3206" w:rsidP="000567E0">
            <w:pPr>
              <w:rPr>
                <w:rFonts w:cs="Arial"/>
              </w:rPr>
            </w:pPr>
            <w:r>
              <w:rPr>
                <w:rFonts w:cs="Arial"/>
              </w:rPr>
              <w:t>Ministarstvo mora, prometa i infrastrukture</w:t>
            </w:r>
          </w:p>
        </w:tc>
        <w:tc>
          <w:tcPr>
            <w:tcW w:w="1457" w:type="dxa"/>
            <w:vAlign w:val="center"/>
          </w:tcPr>
          <w:p w:rsidR="000567E0" w:rsidRPr="000567E0" w:rsidRDefault="000567E0" w:rsidP="000567E0">
            <w:pPr>
              <w:jc w:val="center"/>
              <w:rPr>
                <w:rFonts w:cs="Arial"/>
              </w:rPr>
            </w:pPr>
            <w:r w:rsidRPr="000567E0">
              <w:rPr>
                <w:rFonts w:cs="Arial"/>
              </w:rPr>
              <w:t>bezuvjetno</w:t>
            </w:r>
          </w:p>
        </w:tc>
        <w:tc>
          <w:tcPr>
            <w:tcW w:w="1551" w:type="dxa"/>
            <w:vAlign w:val="center"/>
          </w:tcPr>
          <w:p w:rsidR="000567E0" w:rsidRPr="000567E0" w:rsidRDefault="000567E0" w:rsidP="000567E0">
            <w:pPr>
              <w:jc w:val="center"/>
              <w:rPr>
                <w:rFonts w:cs="Arial"/>
              </w:rPr>
            </w:pPr>
            <w:r w:rsidRPr="000567E0">
              <w:rPr>
                <w:rFonts w:cs="Arial"/>
              </w:rPr>
              <w:t>bezuvjetno</w:t>
            </w:r>
          </w:p>
        </w:tc>
      </w:tr>
      <w:tr w:rsidR="000567E0" w:rsidRPr="000567E0" w:rsidTr="000567E0">
        <w:trPr>
          <w:trHeight w:val="320"/>
        </w:trPr>
        <w:tc>
          <w:tcPr>
            <w:tcW w:w="9628" w:type="dxa"/>
            <w:gridSpan w:val="4"/>
            <w:shd w:val="clear" w:color="auto" w:fill="DBE5F1" w:themeFill="accent1" w:themeFillTint="33"/>
            <w:vAlign w:val="center"/>
          </w:tcPr>
          <w:p w:rsidR="000567E0" w:rsidRPr="000567E0" w:rsidRDefault="00AA013D" w:rsidP="00EA3206">
            <w:pPr>
              <w:jc w:val="left"/>
              <w:rPr>
                <w:rFonts w:cs="Arial"/>
              </w:rPr>
            </w:pPr>
            <w:r>
              <w:rPr>
                <w:rFonts w:cs="Arial"/>
              </w:rPr>
              <w:t xml:space="preserve">             </w:t>
            </w:r>
            <w:r w:rsidR="000567E0">
              <w:rPr>
                <w:rFonts w:cs="Arial"/>
              </w:rPr>
              <w:t>JLP</w:t>
            </w:r>
            <w:r w:rsidR="003F26E9">
              <w:rPr>
                <w:rFonts w:cs="Arial"/>
              </w:rPr>
              <w:t>(</w:t>
            </w:r>
            <w:r w:rsidR="000567E0">
              <w:rPr>
                <w:rFonts w:cs="Arial"/>
              </w:rPr>
              <w:t>R)S</w:t>
            </w:r>
          </w:p>
        </w:tc>
      </w:tr>
      <w:tr w:rsidR="00921705" w:rsidRPr="000567E0" w:rsidTr="007D7978">
        <w:trPr>
          <w:trHeight w:val="320"/>
        </w:trPr>
        <w:tc>
          <w:tcPr>
            <w:tcW w:w="870" w:type="dxa"/>
            <w:vAlign w:val="center"/>
            <w:hideMark/>
          </w:tcPr>
          <w:p w:rsidR="00921705" w:rsidRPr="000567E0" w:rsidRDefault="00921705" w:rsidP="00921705">
            <w:pPr>
              <w:jc w:val="center"/>
              <w:rPr>
                <w:rFonts w:cs="Arial"/>
              </w:rPr>
            </w:pPr>
            <w:r>
              <w:rPr>
                <w:rFonts w:cs="Arial"/>
              </w:rPr>
              <w:t>1.</w:t>
            </w:r>
          </w:p>
        </w:tc>
        <w:tc>
          <w:tcPr>
            <w:tcW w:w="5750" w:type="dxa"/>
            <w:vAlign w:val="center"/>
          </w:tcPr>
          <w:p w:rsidR="00921705" w:rsidRPr="000567E0" w:rsidRDefault="00921705" w:rsidP="00921705">
            <w:pPr>
              <w:rPr>
                <w:rFonts w:cs="Arial"/>
              </w:rPr>
            </w:pPr>
            <w:r>
              <w:rPr>
                <w:rFonts w:cs="Arial"/>
              </w:rPr>
              <w:t>Grad Kraljevica</w:t>
            </w:r>
          </w:p>
        </w:tc>
        <w:tc>
          <w:tcPr>
            <w:tcW w:w="1457" w:type="dxa"/>
            <w:vAlign w:val="center"/>
          </w:tcPr>
          <w:p w:rsidR="00921705" w:rsidRPr="000567E0" w:rsidRDefault="00921705" w:rsidP="00921705">
            <w:pPr>
              <w:jc w:val="center"/>
              <w:rPr>
                <w:rFonts w:cs="Arial"/>
              </w:rPr>
            </w:pPr>
            <w:r w:rsidRPr="000567E0">
              <w:rPr>
                <w:rFonts w:cs="Arial"/>
              </w:rPr>
              <w:t>bezuvjetno</w:t>
            </w:r>
          </w:p>
        </w:tc>
        <w:tc>
          <w:tcPr>
            <w:tcW w:w="1551" w:type="dxa"/>
            <w:vAlign w:val="center"/>
          </w:tcPr>
          <w:p w:rsidR="00921705" w:rsidRPr="000567E0" w:rsidRDefault="00921705" w:rsidP="00921705">
            <w:pPr>
              <w:jc w:val="center"/>
              <w:rPr>
                <w:rFonts w:cs="Arial"/>
              </w:rPr>
            </w:pPr>
            <w:r w:rsidRPr="000567E0">
              <w:rPr>
                <w:rFonts w:cs="Arial"/>
              </w:rPr>
              <w:t>bezuvjetno</w:t>
            </w:r>
          </w:p>
        </w:tc>
      </w:tr>
      <w:tr w:rsidR="00921705" w:rsidRPr="000567E0" w:rsidTr="00EA3206">
        <w:trPr>
          <w:trHeight w:val="320"/>
        </w:trPr>
        <w:tc>
          <w:tcPr>
            <w:tcW w:w="870" w:type="dxa"/>
            <w:vAlign w:val="center"/>
          </w:tcPr>
          <w:p w:rsidR="00921705" w:rsidRPr="000567E0" w:rsidRDefault="00921705" w:rsidP="00921705">
            <w:pPr>
              <w:jc w:val="center"/>
              <w:rPr>
                <w:rFonts w:cs="Arial"/>
              </w:rPr>
            </w:pPr>
            <w:r>
              <w:rPr>
                <w:rFonts w:cs="Arial"/>
              </w:rPr>
              <w:t>2.</w:t>
            </w:r>
          </w:p>
        </w:tc>
        <w:tc>
          <w:tcPr>
            <w:tcW w:w="5750" w:type="dxa"/>
            <w:vAlign w:val="center"/>
          </w:tcPr>
          <w:p w:rsidR="00921705" w:rsidRPr="000567E0" w:rsidRDefault="00921705" w:rsidP="00921705">
            <w:pPr>
              <w:rPr>
                <w:rFonts w:cs="Arial"/>
              </w:rPr>
            </w:pPr>
            <w:r>
              <w:t xml:space="preserve">Općina </w:t>
            </w:r>
            <w:r w:rsidRPr="00572A01">
              <w:t>Marija Bistrica</w:t>
            </w:r>
          </w:p>
        </w:tc>
        <w:tc>
          <w:tcPr>
            <w:tcW w:w="1457" w:type="dxa"/>
            <w:vAlign w:val="center"/>
          </w:tcPr>
          <w:p w:rsidR="00921705" w:rsidRPr="000567E0" w:rsidRDefault="00921705" w:rsidP="00921705">
            <w:pPr>
              <w:jc w:val="center"/>
              <w:rPr>
                <w:rFonts w:cs="Arial"/>
              </w:rPr>
            </w:pPr>
            <w:r w:rsidRPr="000567E0">
              <w:rPr>
                <w:rFonts w:cs="Arial"/>
              </w:rPr>
              <w:t>bezuvjetno</w:t>
            </w:r>
          </w:p>
        </w:tc>
        <w:tc>
          <w:tcPr>
            <w:tcW w:w="1551" w:type="dxa"/>
            <w:vAlign w:val="center"/>
          </w:tcPr>
          <w:p w:rsidR="00921705" w:rsidRPr="000567E0" w:rsidRDefault="00921705" w:rsidP="00921705">
            <w:pPr>
              <w:jc w:val="center"/>
              <w:rPr>
                <w:rFonts w:cs="Arial"/>
              </w:rPr>
            </w:pPr>
            <w:r w:rsidRPr="000567E0">
              <w:rPr>
                <w:rFonts w:cs="Arial"/>
              </w:rPr>
              <w:t>bezuvjetno</w:t>
            </w:r>
          </w:p>
        </w:tc>
      </w:tr>
      <w:tr w:rsidR="00921705" w:rsidRPr="000567E0" w:rsidTr="00EA3206">
        <w:trPr>
          <w:trHeight w:val="320"/>
        </w:trPr>
        <w:tc>
          <w:tcPr>
            <w:tcW w:w="870" w:type="dxa"/>
            <w:vAlign w:val="center"/>
          </w:tcPr>
          <w:p w:rsidR="00921705" w:rsidRPr="000567E0" w:rsidRDefault="00921705" w:rsidP="00921705">
            <w:pPr>
              <w:jc w:val="center"/>
              <w:rPr>
                <w:rFonts w:cs="Arial"/>
              </w:rPr>
            </w:pPr>
            <w:r>
              <w:rPr>
                <w:rFonts w:cs="Arial"/>
              </w:rPr>
              <w:t>3.</w:t>
            </w:r>
          </w:p>
        </w:tc>
        <w:tc>
          <w:tcPr>
            <w:tcW w:w="5750" w:type="dxa"/>
            <w:vAlign w:val="center"/>
          </w:tcPr>
          <w:p w:rsidR="00921705" w:rsidRPr="000567E0" w:rsidRDefault="00921705" w:rsidP="00921705">
            <w:pPr>
              <w:rPr>
                <w:rFonts w:cs="Arial"/>
              </w:rPr>
            </w:pPr>
            <w:r>
              <w:t xml:space="preserve">Općina </w:t>
            </w:r>
            <w:r w:rsidRPr="00572A01">
              <w:t>Oriovac</w:t>
            </w:r>
          </w:p>
        </w:tc>
        <w:tc>
          <w:tcPr>
            <w:tcW w:w="1457" w:type="dxa"/>
            <w:vAlign w:val="center"/>
          </w:tcPr>
          <w:p w:rsidR="00921705" w:rsidRPr="000567E0" w:rsidRDefault="00921705" w:rsidP="00921705">
            <w:pPr>
              <w:jc w:val="center"/>
              <w:rPr>
                <w:rFonts w:cs="Arial"/>
              </w:rPr>
            </w:pPr>
            <w:r>
              <w:rPr>
                <w:rFonts w:cs="Arial"/>
              </w:rPr>
              <w:t>uvjetno</w:t>
            </w:r>
          </w:p>
        </w:tc>
        <w:tc>
          <w:tcPr>
            <w:tcW w:w="1551" w:type="dxa"/>
            <w:vAlign w:val="center"/>
          </w:tcPr>
          <w:p w:rsidR="00921705" w:rsidRPr="000567E0" w:rsidRDefault="00921705" w:rsidP="00921705">
            <w:pPr>
              <w:jc w:val="center"/>
              <w:rPr>
                <w:rFonts w:cs="Arial"/>
              </w:rPr>
            </w:pPr>
            <w:r>
              <w:rPr>
                <w:rFonts w:cs="Arial"/>
              </w:rPr>
              <w:t>uvjetno</w:t>
            </w:r>
          </w:p>
        </w:tc>
      </w:tr>
      <w:tr w:rsidR="00921705" w:rsidRPr="000567E0" w:rsidTr="00EA3206">
        <w:trPr>
          <w:trHeight w:val="320"/>
        </w:trPr>
        <w:tc>
          <w:tcPr>
            <w:tcW w:w="870" w:type="dxa"/>
            <w:vAlign w:val="center"/>
          </w:tcPr>
          <w:p w:rsidR="00921705" w:rsidRPr="000567E0" w:rsidRDefault="00921705" w:rsidP="00921705">
            <w:pPr>
              <w:jc w:val="center"/>
              <w:rPr>
                <w:rFonts w:cs="Arial"/>
              </w:rPr>
            </w:pPr>
            <w:r>
              <w:rPr>
                <w:rFonts w:cs="Arial"/>
              </w:rPr>
              <w:t>4.</w:t>
            </w:r>
          </w:p>
        </w:tc>
        <w:tc>
          <w:tcPr>
            <w:tcW w:w="5750" w:type="dxa"/>
            <w:vAlign w:val="center"/>
          </w:tcPr>
          <w:p w:rsidR="00921705" w:rsidRPr="000567E0" w:rsidRDefault="00921705" w:rsidP="00921705">
            <w:pPr>
              <w:rPr>
                <w:rFonts w:cs="Arial"/>
              </w:rPr>
            </w:pPr>
            <w:r>
              <w:t xml:space="preserve">Općina </w:t>
            </w:r>
            <w:proofErr w:type="spellStart"/>
            <w:r w:rsidRPr="00572A01">
              <w:t>Podstrana</w:t>
            </w:r>
            <w:proofErr w:type="spellEnd"/>
            <w:r w:rsidRPr="00572A01">
              <w:t xml:space="preserve"> </w:t>
            </w:r>
          </w:p>
        </w:tc>
        <w:tc>
          <w:tcPr>
            <w:tcW w:w="1457" w:type="dxa"/>
            <w:vAlign w:val="center"/>
          </w:tcPr>
          <w:p w:rsidR="00921705" w:rsidRPr="000567E0" w:rsidRDefault="00921705" w:rsidP="00921705">
            <w:pPr>
              <w:jc w:val="center"/>
              <w:rPr>
                <w:rFonts w:cs="Arial"/>
              </w:rPr>
            </w:pPr>
            <w:r>
              <w:rPr>
                <w:rFonts w:cs="Arial"/>
              </w:rPr>
              <w:t>uvjetno</w:t>
            </w:r>
          </w:p>
        </w:tc>
        <w:tc>
          <w:tcPr>
            <w:tcW w:w="1551" w:type="dxa"/>
            <w:vAlign w:val="center"/>
          </w:tcPr>
          <w:p w:rsidR="00921705" w:rsidRPr="000567E0" w:rsidRDefault="00921705" w:rsidP="00921705">
            <w:pPr>
              <w:jc w:val="center"/>
              <w:rPr>
                <w:rFonts w:cs="Arial"/>
              </w:rPr>
            </w:pPr>
            <w:r>
              <w:rPr>
                <w:rFonts w:cs="Arial"/>
              </w:rPr>
              <w:t>uvjetno</w:t>
            </w:r>
          </w:p>
        </w:tc>
      </w:tr>
      <w:tr w:rsidR="00921705" w:rsidRPr="000567E0" w:rsidTr="00EA3206">
        <w:trPr>
          <w:trHeight w:val="320"/>
        </w:trPr>
        <w:tc>
          <w:tcPr>
            <w:tcW w:w="870" w:type="dxa"/>
            <w:vAlign w:val="center"/>
          </w:tcPr>
          <w:p w:rsidR="00921705" w:rsidRPr="000567E0" w:rsidRDefault="00921705" w:rsidP="00921705">
            <w:pPr>
              <w:jc w:val="center"/>
              <w:rPr>
                <w:rFonts w:cs="Arial"/>
              </w:rPr>
            </w:pPr>
            <w:r>
              <w:rPr>
                <w:rFonts w:cs="Arial"/>
              </w:rPr>
              <w:t>5.</w:t>
            </w:r>
          </w:p>
        </w:tc>
        <w:tc>
          <w:tcPr>
            <w:tcW w:w="5750" w:type="dxa"/>
            <w:vAlign w:val="center"/>
          </w:tcPr>
          <w:p w:rsidR="00921705" w:rsidRPr="000567E0" w:rsidRDefault="00921705" w:rsidP="00921705">
            <w:pPr>
              <w:rPr>
                <w:rFonts w:cs="Arial"/>
              </w:rPr>
            </w:pPr>
            <w:r>
              <w:rPr>
                <w:rFonts w:cs="Arial"/>
              </w:rPr>
              <w:t xml:space="preserve">Općina </w:t>
            </w:r>
            <w:proofErr w:type="spellStart"/>
            <w:r w:rsidRPr="00572A01">
              <w:t>Vrsar</w:t>
            </w:r>
            <w:proofErr w:type="spellEnd"/>
            <w:r>
              <w:t xml:space="preserve"> –</w:t>
            </w:r>
            <w:r w:rsidRPr="00572A01">
              <w:t xml:space="preserve"> </w:t>
            </w:r>
            <w:proofErr w:type="spellStart"/>
            <w:r w:rsidRPr="00572A01">
              <w:t>Orsera</w:t>
            </w:r>
            <w:proofErr w:type="spellEnd"/>
          </w:p>
        </w:tc>
        <w:tc>
          <w:tcPr>
            <w:tcW w:w="1457" w:type="dxa"/>
            <w:vAlign w:val="center"/>
          </w:tcPr>
          <w:p w:rsidR="00921705" w:rsidRPr="000567E0" w:rsidRDefault="00921705" w:rsidP="00921705">
            <w:pPr>
              <w:jc w:val="center"/>
              <w:rPr>
                <w:rFonts w:cs="Arial"/>
              </w:rPr>
            </w:pPr>
            <w:r w:rsidRPr="000567E0">
              <w:rPr>
                <w:rFonts w:cs="Arial"/>
              </w:rPr>
              <w:t>bezuvjetno</w:t>
            </w:r>
          </w:p>
        </w:tc>
        <w:tc>
          <w:tcPr>
            <w:tcW w:w="1551" w:type="dxa"/>
            <w:vAlign w:val="center"/>
          </w:tcPr>
          <w:p w:rsidR="00921705" w:rsidRPr="000567E0" w:rsidRDefault="00921705" w:rsidP="00921705">
            <w:pPr>
              <w:jc w:val="center"/>
              <w:rPr>
                <w:rFonts w:cs="Arial"/>
              </w:rPr>
            </w:pPr>
            <w:r w:rsidRPr="000567E0">
              <w:rPr>
                <w:rFonts w:cs="Arial"/>
              </w:rPr>
              <w:t>bezuvjetno</w:t>
            </w:r>
          </w:p>
        </w:tc>
      </w:tr>
      <w:tr w:rsidR="00921705" w:rsidRPr="000567E0" w:rsidTr="000A5128">
        <w:trPr>
          <w:trHeight w:val="320"/>
        </w:trPr>
        <w:tc>
          <w:tcPr>
            <w:tcW w:w="9628" w:type="dxa"/>
            <w:gridSpan w:val="4"/>
            <w:shd w:val="clear" w:color="auto" w:fill="DBE5F1" w:themeFill="accent1" w:themeFillTint="33"/>
            <w:vAlign w:val="center"/>
          </w:tcPr>
          <w:p w:rsidR="00921705" w:rsidRPr="000567E0" w:rsidRDefault="00921705" w:rsidP="00921705">
            <w:pPr>
              <w:rPr>
                <w:rFonts w:cs="Arial"/>
              </w:rPr>
            </w:pPr>
            <w:r>
              <w:rPr>
                <w:rFonts w:cs="Arial"/>
              </w:rPr>
              <w:t xml:space="preserve">             Trgovačko društvo u vlasništvu JLP(R)S</w:t>
            </w:r>
          </w:p>
        </w:tc>
      </w:tr>
      <w:tr w:rsidR="00921705" w:rsidRPr="000567E0" w:rsidTr="00EA3206">
        <w:trPr>
          <w:trHeight w:val="320"/>
        </w:trPr>
        <w:tc>
          <w:tcPr>
            <w:tcW w:w="870" w:type="dxa"/>
            <w:vAlign w:val="center"/>
          </w:tcPr>
          <w:p w:rsidR="00921705" w:rsidRPr="000567E0" w:rsidRDefault="00921705" w:rsidP="00921705">
            <w:pPr>
              <w:jc w:val="center"/>
              <w:rPr>
                <w:rFonts w:cs="Arial"/>
              </w:rPr>
            </w:pPr>
            <w:r>
              <w:rPr>
                <w:rFonts w:cs="Arial"/>
              </w:rPr>
              <w:t>1.</w:t>
            </w:r>
          </w:p>
        </w:tc>
        <w:tc>
          <w:tcPr>
            <w:tcW w:w="5750" w:type="dxa"/>
            <w:vAlign w:val="center"/>
          </w:tcPr>
          <w:p w:rsidR="00921705" w:rsidRPr="000567E0" w:rsidRDefault="00921705" w:rsidP="00921705">
            <w:pPr>
              <w:rPr>
                <w:rFonts w:cs="Arial"/>
              </w:rPr>
            </w:pPr>
            <w:r>
              <w:rPr>
                <w:rFonts w:cs="Arial"/>
              </w:rPr>
              <w:t>Lijepa Bistrica d.o.o., Marija Bistrica</w:t>
            </w:r>
          </w:p>
        </w:tc>
        <w:tc>
          <w:tcPr>
            <w:tcW w:w="1457" w:type="dxa"/>
            <w:vAlign w:val="center"/>
          </w:tcPr>
          <w:p w:rsidR="00921705" w:rsidRPr="000567E0" w:rsidRDefault="00921705" w:rsidP="00921705">
            <w:pPr>
              <w:jc w:val="center"/>
              <w:rPr>
                <w:rFonts w:cs="Arial"/>
              </w:rPr>
            </w:pPr>
            <w:r w:rsidRPr="000567E0">
              <w:rPr>
                <w:rFonts w:cs="Arial"/>
              </w:rPr>
              <w:t>bezuvjetno</w:t>
            </w:r>
          </w:p>
        </w:tc>
        <w:tc>
          <w:tcPr>
            <w:tcW w:w="1551" w:type="dxa"/>
            <w:vAlign w:val="center"/>
          </w:tcPr>
          <w:p w:rsidR="00921705" w:rsidRPr="000567E0" w:rsidRDefault="00921705" w:rsidP="00921705">
            <w:pPr>
              <w:jc w:val="center"/>
              <w:rPr>
                <w:rFonts w:cs="Arial"/>
              </w:rPr>
            </w:pPr>
            <w:r w:rsidRPr="000567E0">
              <w:rPr>
                <w:rFonts w:cs="Arial"/>
              </w:rPr>
              <w:t>bezuvjetno</w:t>
            </w:r>
          </w:p>
        </w:tc>
      </w:tr>
      <w:tr w:rsidR="00921705" w:rsidRPr="000567E0" w:rsidTr="00440F96">
        <w:trPr>
          <w:trHeight w:val="320"/>
        </w:trPr>
        <w:tc>
          <w:tcPr>
            <w:tcW w:w="9628" w:type="dxa"/>
            <w:gridSpan w:val="4"/>
            <w:shd w:val="clear" w:color="auto" w:fill="DBE5F1" w:themeFill="accent1" w:themeFillTint="33"/>
            <w:vAlign w:val="center"/>
          </w:tcPr>
          <w:p w:rsidR="00921705" w:rsidRPr="000567E0" w:rsidRDefault="00921705" w:rsidP="00921705">
            <w:pPr>
              <w:jc w:val="left"/>
              <w:rPr>
                <w:rFonts w:cs="Arial"/>
              </w:rPr>
            </w:pPr>
            <w:r>
              <w:rPr>
                <w:rFonts w:cs="Arial"/>
              </w:rPr>
              <w:t xml:space="preserve">             Neprofitne organizacije</w:t>
            </w:r>
          </w:p>
        </w:tc>
      </w:tr>
      <w:tr w:rsidR="00921705" w:rsidRPr="000567E0" w:rsidTr="00EA3206">
        <w:trPr>
          <w:trHeight w:val="320"/>
        </w:trPr>
        <w:tc>
          <w:tcPr>
            <w:tcW w:w="870" w:type="dxa"/>
            <w:vAlign w:val="center"/>
          </w:tcPr>
          <w:p w:rsidR="00921705" w:rsidRPr="000567E0" w:rsidRDefault="00921705" w:rsidP="00921705">
            <w:pPr>
              <w:jc w:val="center"/>
              <w:rPr>
                <w:rFonts w:cs="Arial"/>
              </w:rPr>
            </w:pPr>
            <w:r>
              <w:rPr>
                <w:rFonts w:cs="Arial"/>
              </w:rPr>
              <w:t>1.</w:t>
            </w:r>
          </w:p>
        </w:tc>
        <w:tc>
          <w:tcPr>
            <w:tcW w:w="5750" w:type="dxa"/>
            <w:vAlign w:val="center"/>
          </w:tcPr>
          <w:p w:rsidR="00921705" w:rsidRPr="000567E0" w:rsidRDefault="00921705" w:rsidP="00921705">
            <w:pPr>
              <w:rPr>
                <w:rFonts w:cs="Arial"/>
              </w:rPr>
            </w:pPr>
            <w:r>
              <w:rPr>
                <w:rFonts w:cs="Arial"/>
              </w:rPr>
              <w:t>Sportska zajednica Grada Labina</w:t>
            </w:r>
          </w:p>
        </w:tc>
        <w:tc>
          <w:tcPr>
            <w:tcW w:w="1457" w:type="dxa"/>
            <w:vAlign w:val="center"/>
          </w:tcPr>
          <w:p w:rsidR="00921705" w:rsidRPr="000567E0" w:rsidRDefault="00921705" w:rsidP="00921705">
            <w:pPr>
              <w:jc w:val="center"/>
              <w:rPr>
                <w:rFonts w:cs="Arial"/>
              </w:rPr>
            </w:pPr>
            <w:r w:rsidRPr="000567E0">
              <w:rPr>
                <w:rFonts w:cs="Arial"/>
              </w:rPr>
              <w:t>bezuvjetno</w:t>
            </w:r>
          </w:p>
        </w:tc>
        <w:tc>
          <w:tcPr>
            <w:tcW w:w="1551" w:type="dxa"/>
            <w:vAlign w:val="center"/>
          </w:tcPr>
          <w:p w:rsidR="00921705" w:rsidRPr="000567E0" w:rsidRDefault="00921705" w:rsidP="00921705">
            <w:pPr>
              <w:jc w:val="center"/>
              <w:rPr>
                <w:rFonts w:cs="Arial"/>
              </w:rPr>
            </w:pPr>
            <w:r>
              <w:rPr>
                <w:rFonts w:cs="Arial"/>
              </w:rPr>
              <w:t>uvjetno</w:t>
            </w:r>
          </w:p>
        </w:tc>
      </w:tr>
      <w:tr w:rsidR="00921705" w:rsidRPr="000567E0" w:rsidTr="00EA3206">
        <w:trPr>
          <w:trHeight w:val="320"/>
        </w:trPr>
        <w:tc>
          <w:tcPr>
            <w:tcW w:w="870" w:type="dxa"/>
            <w:vAlign w:val="center"/>
          </w:tcPr>
          <w:p w:rsidR="00921705" w:rsidRPr="000567E0" w:rsidRDefault="00921705" w:rsidP="00921705">
            <w:pPr>
              <w:jc w:val="center"/>
              <w:rPr>
                <w:rFonts w:cs="Arial"/>
              </w:rPr>
            </w:pPr>
            <w:r>
              <w:rPr>
                <w:rFonts w:cs="Arial"/>
              </w:rPr>
              <w:t>2.</w:t>
            </w:r>
          </w:p>
        </w:tc>
        <w:tc>
          <w:tcPr>
            <w:tcW w:w="5750" w:type="dxa"/>
            <w:vAlign w:val="center"/>
          </w:tcPr>
          <w:p w:rsidR="00921705" w:rsidRPr="000567E0" w:rsidRDefault="00921705" w:rsidP="00921705">
            <w:pPr>
              <w:rPr>
                <w:rFonts w:cs="Arial"/>
              </w:rPr>
            </w:pPr>
            <w:r>
              <w:rPr>
                <w:rFonts w:cs="Arial"/>
              </w:rPr>
              <w:t>Hrvatski teniski savez</w:t>
            </w:r>
          </w:p>
        </w:tc>
        <w:tc>
          <w:tcPr>
            <w:tcW w:w="1457" w:type="dxa"/>
            <w:vAlign w:val="center"/>
          </w:tcPr>
          <w:p w:rsidR="00921705" w:rsidRPr="000567E0" w:rsidRDefault="00921705" w:rsidP="00921705">
            <w:pPr>
              <w:jc w:val="center"/>
              <w:rPr>
                <w:rFonts w:cs="Arial"/>
              </w:rPr>
            </w:pPr>
            <w:r>
              <w:rPr>
                <w:rFonts w:cs="Arial"/>
              </w:rPr>
              <w:t>uvjetno</w:t>
            </w:r>
          </w:p>
        </w:tc>
        <w:tc>
          <w:tcPr>
            <w:tcW w:w="1551" w:type="dxa"/>
            <w:vAlign w:val="center"/>
          </w:tcPr>
          <w:p w:rsidR="00921705" w:rsidRPr="000567E0" w:rsidRDefault="00921705" w:rsidP="00921705">
            <w:pPr>
              <w:jc w:val="center"/>
              <w:rPr>
                <w:rFonts w:cs="Arial"/>
              </w:rPr>
            </w:pPr>
            <w:r>
              <w:rPr>
                <w:rFonts w:cs="Arial"/>
              </w:rPr>
              <w:t>uvjetno</w:t>
            </w:r>
          </w:p>
        </w:tc>
      </w:tr>
    </w:tbl>
    <w:p w:rsidR="000567E0" w:rsidRPr="0093740E" w:rsidRDefault="0040786C" w:rsidP="00D822EA">
      <w:pPr>
        <w:rPr>
          <w:i/>
          <w:sz w:val="18"/>
          <w:szCs w:val="18"/>
        </w:rPr>
      </w:pPr>
      <w:r>
        <w:rPr>
          <w:i/>
          <w:sz w:val="18"/>
          <w:szCs w:val="18"/>
        </w:rPr>
        <w:t>Napomena:</w:t>
      </w:r>
      <w:r w:rsidR="00910E88">
        <w:rPr>
          <w:i/>
          <w:sz w:val="18"/>
          <w:szCs w:val="18"/>
        </w:rPr>
        <w:t xml:space="preserve"> </w:t>
      </w:r>
      <w:r>
        <w:rPr>
          <w:i/>
          <w:sz w:val="18"/>
          <w:szCs w:val="18"/>
        </w:rPr>
        <w:t xml:space="preserve">U reviziji </w:t>
      </w:r>
      <w:r w:rsidR="0093740E" w:rsidRPr="0093740E">
        <w:rPr>
          <w:i/>
          <w:sz w:val="18"/>
          <w:szCs w:val="18"/>
        </w:rPr>
        <w:t xml:space="preserve"> Godišnje</w:t>
      </w:r>
      <w:r>
        <w:rPr>
          <w:i/>
          <w:sz w:val="18"/>
          <w:szCs w:val="18"/>
        </w:rPr>
        <w:t>g</w:t>
      </w:r>
      <w:r w:rsidR="0093740E" w:rsidRPr="0093740E">
        <w:rPr>
          <w:i/>
          <w:sz w:val="18"/>
          <w:szCs w:val="18"/>
        </w:rPr>
        <w:t xml:space="preserve"> izvještaj</w:t>
      </w:r>
      <w:r>
        <w:rPr>
          <w:i/>
          <w:sz w:val="18"/>
          <w:szCs w:val="18"/>
        </w:rPr>
        <w:t>a</w:t>
      </w:r>
      <w:r w:rsidR="0093740E" w:rsidRPr="0093740E">
        <w:rPr>
          <w:i/>
          <w:sz w:val="18"/>
          <w:szCs w:val="18"/>
        </w:rPr>
        <w:t xml:space="preserve"> o izvršenju Državnog proračuna </w:t>
      </w:r>
      <w:r w:rsidR="009C194A">
        <w:rPr>
          <w:i/>
          <w:sz w:val="18"/>
          <w:szCs w:val="18"/>
        </w:rPr>
        <w:t xml:space="preserve">Republike Hrvatske </w:t>
      </w:r>
      <w:r w:rsidR="0093740E" w:rsidRPr="0093740E">
        <w:rPr>
          <w:i/>
          <w:sz w:val="18"/>
          <w:szCs w:val="18"/>
        </w:rPr>
        <w:t xml:space="preserve">izražava </w:t>
      </w:r>
      <w:r w:rsidR="0093740E" w:rsidRPr="003D469D">
        <w:rPr>
          <w:i/>
          <w:sz w:val="18"/>
          <w:szCs w:val="18"/>
        </w:rPr>
        <w:t>se samo</w:t>
      </w:r>
      <w:r w:rsidR="0093740E" w:rsidRPr="0093740E">
        <w:rPr>
          <w:i/>
          <w:sz w:val="18"/>
          <w:szCs w:val="18"/>
        </w:rPr>
        <w:t xml:space="preserve"> mišljenje o financijskim izvještajima</w:t>
      </w:r>
      <w:r w:rsidR="001E155D">
        <w:rPr>
          <w:i/>
          <w:sz w:val="18"/>
          <w:szCs w:val="18"/>
        </w:rPr>
        <w:t>.</w:t>
      </w:r>
    </w:p>
    <w:sectPr w:rsidR="000567E0" w:rsidRPr="0093740E" w:rsidSect="00C267DE">
      <w:headerReference w:type="default" r:id="rId11"/>
      <w:type w:val="continuous"/>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152" w:rsidRDefault="00664152" w:rsidP="00952B63">
      <w:r>
        <w:separator/>
      </w:r>
    </w:p>
  </w:endnote>
  <w:endnote w:type="continuationSeparator" w:id="0">
    <w:p w:rsidR="00664152" w:rsidRDefault="00664152" w:rsidP="00952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152" w:rsidRDefault="00664152" w:rsidP="00952B63">
      <w:r>
        <w:separator/>
      </w:r>
    </w:p>
  </w:footnote>
  <w:footnote w:type="continuationSeparator" w:id="0">
    <w:p w:rsidR="00664152" w:rsidRDefault="00664152" w:rsidP="00952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434" w:rsidRDefault="00FE7434">
    <w:pPr>
      <w:pStyle w:val="Zaglavlje"/>
      <w:jc w:val="center"/>
    </w:pPr>
  </w:p>
  <w:p w:rsidR="00FE7434" w:rsidRDefault="00FE743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A76F3"/>
    <w:multiLevelType w:val="hybridMultilevel"/>
    <w:tmpl w:val="2D7681BA"/>
    <w:lvl w:ilvl="0" w:tplc="AB708D70">
      <w:start w:val="18"/>
      <w:numFmt w:val="bullet"/>
      <w:lvlText w:val="–"/>
      <w:lvlJc w:val="left"/>
      <w:pPr>
        <w:ind w:left="1287" w:hanging="360"/>
      </w:pPr>
      <w:rPr>
        <w:rFonts w:ascii="Times New Roman" w:eastAsia="Times New Roman" w:hAnsi="Times New Roman" w:cs="Times New Roman" w:hint="default"/>
        <w:b/>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 w15:restartNumberingAfterBreak="0">
    <w:nsid w:val="30515789"/>
    <w:multiLevelType w:val="hybridMultilevel"/>
    <w:tmpl w:val="E0AE2A94"/>
    <w:lvl w:ilvl="0" w:tplc="C6B218AC">
      <w:start w:val="1"/>
      <w:numFmt w:val="bullet"/>
      <w:pStyle w:val="StilBulletCrtica"/>
      <w:lvlText w:val=""/>
      <w:lvlJc w:val="left"/>
      <w:pPr>
        <w:ind w:left="927"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8761625"/>
    <w:multiLevelType w:val="hybridMultilevel"/>
    <w:tmpl w:val="CFBE6BB2"/>
    <w:lvl w:ilvl="0" w:tplc="71D461A0">
      <w:numFmt w:val="bullet"/>
      <w:lvlText w:val="–"/>
      <w:lvlJc w:val="left"/>
      <w:pPr>
        <w:ind w:left="1341" w:hanging="360"/>
      </w:pPr>
      <w:rPr>
        <w:rFonts w:ascii="Arial" w:eastAsia="Times New Roman" w:hAnsi="Arial" w:cs="Arial" w:hint="default"/>
      </w:rPr>
    </w:lvl>
    <w:lvl w:ilvl="1" w:tplc="041A0003">
      <w:start w:val="1"/>
      <w:numFmt w:val="bullet"/>
      <w:lvlText w:val="o"/>
      <w:lvlJc w:val="left"/>
      <w:pPr>
        <w:ind w:left="2061" w:hanging="360"/>
      </w:pPr>
      <w:rPr>
        <w:rFonts w:ascii="Courier New" w:hAnsi="Courier New" w:cs="Courier New" w:hint="default"/>
      </w:rPr>
    </w:lvl>
    <w:lvl w:ilvl="2" w:tplc="041A0005" w:tentative="1">
      <w:start w:val="1"/>
      <w:numFmt w:val="bullet"/>
      <w:lvlText w:val=""/>
      <w:lvlJc w:val="left"/>
      <w:pPr>
        <w:ind w:left="2781" w:hanging="360"/>
      </w:pPr>
      <w:rPr>
        <w:rFonts w:ascii="Wingdings" w:hAnsi="Wingdings" w:hint="default"/>
      </w:rPr>
    </w:lvl>
    <w:lvl w:ilvl="3" w:tplc="041A0001" w:tentative="1">
      <w:start w:val="1"/>
      <w:numFmt w:val="bullet"/>
      <w:lvlText w:val=""/>
      <w:lvlJc w:val="left"/>
      <w:pPr>
        <w:ind w:left="3501" w:hanging="360"/>
      </w:pPr>
      <w:rPr>
        <w:rFonts w:ascii="Symbol" w:hAnsi="Symbol" w:hint="default"/>
      </w:rPr>
    </w:lvl>
    <w:lvl w:ilvl="4" w:tplc="041A0003" w:tentative="1">
      <w:start w:val="1"/>
      <w:numFmt w:val="bullet"/>
      <w:lvlText w:val="o"/>
      <w:lvlJc w:val="left"/>
      <w:pPr>
        <w:ind w:left="4221" w:hanging="360"/>
      </w:pPr>
      <w:rPr>
        <w:rFonts w:ascii="Courier New" w:hAnsi="Courier New" w:cs="Courier New" w:hint="default"/>
      </w:rPr>
    </w:lvl>
    <w:lvl w:ilvl="5" w:tplc="041A0005" w:tentative="1">
      <w:start w:val="1"/>
      <w:numFmt w:val="bullet"/>
      <w:lvlText w:val=""/>
      <w:lvlJc w:val="left"/>
      <w:pPr>
        <w:ind w:left="4941" w:hanging="360"/>
      </w:pPr>
      <w:rPr>
        <w:rFonts w:ascii="Wingdings" w:hAnsi="Wingdings" w:hint="default"/>
      </w:rPr>
    </w:lvl>
    <w:lvl w:ilvl="6" w:tplc="041A0001" w:tentative="1">
      <w:start w:val="1"/>
      <w:numFmt w:val="bullet"/>
      <w:lvlText w:val=""/>
      <w:lvlJc w:val="left"/>
      <w:pPr>
        <w:ind w:left="5661" w:hanging="360"/>
      </w:pPr>
      <w:rPr>
        <w:rFonts w:ascii="Symbol" w:hAnsi="Symbol" w:hint="default"/>
      </w:rPr>
    </w:lvl>
    <w:lvl w:ilvl="7" w:tplc="041A0003" w:tentative="1">
      <w:start w:val="1"/>
      <w:numFmt w:val="bullet"/>
      <w:lvlText w:val="o"/>
      <w:lvlJc w:val="left"/>
      <w:pPr>
        <w:ind w:left="6381" w:hanging="360"/>
      </w:pPr>
      <w:rPr>
        <w:rFonts w:ascii="Courier New" w:hAnsi="Courier New" w:cs="Courier New" w:hint="default"/>
      </w:rPr>
    </w:lvl>
    <w:lvl w:ilvl="8" w:tplc="041A0005" w:tentative="1">
      <w:start w:val="1"/>
      <w:numFmt w:val="bullet"/>
      <w:lvlText w:val=""/>
      <w:lvlJc w:val="left"/>
      <w:pPr>
        <w:ind w:left="7101" w:hanging="360"/>
      </w:pPr>
      <w:rPr>
        <w:rFonts w:ascii="Wingdings" w:hAnsi="Wingdings" w:hint="default"/>
      </w:rPr>
    </w:lvl>
  </w:abstractNum>
  <w:abstractNum w:abstractNumId="3" w15:restartNumberingAfterBreak="0">
    <w:nsid w:val="69896CEF"/>
    <w:multiLevelType w:val="hybridMultilevel"/>
    <w:tmpl w:val="335CA6DA"/>
    <w:lvl w:ilvl="0" w:tplc="041A0001">
      <w:start w:val="2"/>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8047E72"/>
    <w:multiLevelType w:val="hybridMultilevel"/>
    <w:tmpl w:val="96ACCACA"/>
    <w:lvl w:ilvl="0" w:tplc="96247F1A">
      <w:start w:val="2"/>
      <w:numFmt w:val="bullet"/>
      <w:lvlText w:val="–"/>
      <w:lvlJc w:val="left"/>
      <w:pPr>
        <w:ind w:left="2412" w:hanging="360"/>
      </w:pPr>
      <w:rPr>
        <w:rFonts w:ascii="Arial" w:eastAsia="Times New Roman" w:hAnsi="Arial" w:cs="Arial" w:hint="default"/>
      </w:rPr>
    </w:lvl>
    <w:lvl w:ilvl="1" w:tplc="041A0003">
      <w:start w:val="1"/>
      <w:numFmt w:val="bullet"/>
      <w:lvlText w:val="o"/>
      <w:lvlJc w:val="left"/>
      <w:pPr>
        <w:ind w:left="3132" w:hanging="360"/>
      </w:pPr>
      <w:rPr>
        <w:rFonts w:ascii="Courier New" w:hAnsi="Courier New" w:cs="Courier New" w:hint="default"/>
      </w:rPr>
    </w:lvl>
    <w:lvl w:ilvl="2" w:tplc="041A0005" w:tentative="1">
      <w:start w:val="1"/>
      <w:numFmt w:val="bullet"/>
      <w:lvlText w:val=""/>
      <w:lvlJc w:val="left"/>
      <w:pPr>
        <w:ind w:left="3852" w:hanging="360"/>
      </w:pPr>
      <w:rPr>
        <w:rFonts w:ascii="Wingdings" w:hAnsi="Wingdings" w:hint="default"/>
      </w:rPr>
    </w:lvl>
    <w:lvl w:ilvl="3" w:tplc="041A0001" w:tentative="1">
      <w:start w:val="1"/>
      <w:numFmt w:val="bullet"/>
      <w:lvlText w:val=""/>
      <w:lvlJc w:val="left"/>
      <w:pPr>
        <w:ind w:left="4572" w:hanging="360"/>
      </w:pPr>
      <w:rPr>
        <w:rFonts w:ascii="Symbol" w:hAnsi="Symbol" w:hint="default"/>
      </w:rPr>
    </w:lvl>
    <w:lvl w:ilvl="4" w:tplc="041A0003" w:tentative="1">
      <w:start w:val="1"/>
      <w:numFmt w:val="bullet"/>
      <w:lvlText w:val="o"/>
      <w:lvlJc w:val="left"/>
      <w:pPr>
        <w:ind w:left="5292" w:hanging="360"/>
      </w:pPr>
      <w:rPr>
        <w:rFonts w:ascii="Courier New" w:hAnsi="Courier New" w:cs="Courier New" w:hint="default"/>
      </w:rPr>
    </w:lvl>
    <w:lvl w:ilvl="5" w:tplc="041A0005" w:tentative="1">
      <w:start w:val="1"/>
      <w:numFmt w:val="bullet"/>
      <w:lvlText w:val=""/>
      <w:lvlJc w:val="left"/>
      <w:pPr>
        <w:ind w:left="6012" w:hanging="360"/>
      </w:pPr>
      <w:rPr>
        <w:rFonts w:ascii="Wingdings" w:hAnsi="Wingdings" w:hint="default"/>
      </w:rPr>
    </w:lvl>
    <w:lvl w:ilvl="6" w:tplc="041A0001" w:tentative="1">
      <w:start w:val="1"/>
      <w:numFmt w:val="bullet"/>
      <w:lvlText w:val=""/>
      <w:lvlJc w:val="left"/>
      <w:pPr>
        <w:ind w:left="6732" w:hanging="360"/>
      </w:pPr>
      <w:rPr>
        <w:rFonts w:ascii="Symbol" w:hAnsi="Symbol" w:hint="default"/>
      </w:rPr>
    </w:lvl>
    <w:lvl w:ilvl="7" w:tplc="041A0003" w:tentative="1">
      <w:start w:val="1"/>
      <w:numFmt w:val="bullet"/>
      <w:lvlText w:val="o"/>
      <w:lvlJc w:val="left"/>
      <w:pPr>
        <w:ind w:left="7452" w:hanging="360"/>
      </w:pPr>
      <w:rPr>
        <w:rFonts w:ascii="Courier New" w:hAnsi="Courier New" w:cs="Courier New" w:hint="default"/>
      </w:rPr>
    </w:lvl>
    <w:lvl w:ilvl="8" w:tplc="041A0005" w:tentative="1">
      <w:start w:val="1"/>
      <w:numFmt w:val="bullet"/>
      <w:lvlText w:val=""/>
      <w:lvlJc w:val="left"/>
      <w:pPr>
        <w:ind w:left="8172" w:hanging="360"/>
      </w:pPr>
      <w:rPr>
        <w:rFonts w:ascii="Wingdings" w:hAnsi="Wingdings" w:hint="default"/>
      </w:rPr>
    </w:lvl>
  </w:abstractNum>
  <w:num w:numId="1">
    <w:abstractNumId w:val="1"/>
  </w:num>
  <w:num w:numId="2">
    <w:abstractNumId w:val="4"/>
  </w:num>
  <w:num w:numId="3">
    <w:abstractNumId w:val="0"/>
  </w:num>
  <w:num w:numId="4">
    <w:abstractNumId w:val="1"/>
  </w:num>
  <w:num w:numId="5">
    <w:abstractNumId w:val="3"/>
  </w:num>
  <w:num w:numId="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40B"/>
    <w:rsid w:val="00002539"/>
    <w:rsid w:val="00002793"/>
    <w:rsid w:val="000057C9"/>
    <w:rsid w:val="000063EC"/>
    <w:rsid w:val="0000736A"/>
    <w:rsid w:val="000141BC"/>
    <w:rsid w:val="00015C39"/>
    <w:rsid w:val="00016129"/>
    <w:rsid w:val="00016883"/>
    <w:rsid w:val="00023F98"/>
    <w:rsid w:val="000242F6"/>
    <w:rsid w:val="00024A61"/>
    <w:rsid w:val="000250F8"/>
    <w:rsid w:val="00027B08"/>
    <w:rsid w:val="0003040A"/>
    <w:rsid w:val="0003398F"/>
    <w:rsid w:val="00043311"/>
    <w:rsid w:val="00044757"/>
    <w:rsid w:val="00044C61"/>
    <w:rsid w:val="000516E0"/>
    <w:rsid w:val="000567E0"/>
    <w:rsid w:val="00060DDE"/>
    <w:rsid w:val="00065ED1"/>
    <w:rsid w:val="00070056"/>
    <w:rsid w:val="00070FF6"/>
    <w:rsid w:val="00076164"/>
    <w:rsid w:val="000775DE"/>
    <w:rsid w:val="0008114F"/>
    <w:rsid w:val="0008465D"/>
    <w:rsid w:val="00084C71"/>
    <w:rsid w:val="00084FA5"/>
    <w:rsid w:val="00085208"/>
    <w:rsid w:val="000864A3"/>
    <w:rsid w:val="00094103"/>
    <w:rsid w:val="00096B45"/>
    <w:rsid w:val="00097A27"/>
    <w:rsid w:val="000A29AD"/>
    <w:rsid w:val="000A3159"/>
    <w:rsid w:val="000A3FB4"/>
    <w:rsid w:val="000B33B3"/>
    <w:rsid w:val="000B518D"/>
    <w:rsid w:val="000B773D"/>
    <w:rsid w:val="000B7B7D"/>
    <w:rsid w:val="000C15A6"/>
    <w:rsid w:val="000C20C9"/>
    <w:rsid w:val="000D0643"/>
    <w:rsid w:val="000D06C9"/>
    <w:rsid w:val="000D0AD3"/>
    <w:rsid w:val="000D3A51"/>
    <w:rsid w:val="000E0B66"/>
    <w:rsid w:val="000E1845"/>
    <w:rsid w:val="000E1953"/>
    <w:rsid w:val="000F3004"/>
    <w:rsid w:val="000F44D6"/>
    <w:rsid w:val="000F4DA3"/>
    <w:rsid w:val="000F5923"/>
    <w:rsid w:val="000F6092"/>
    <w:rsid w:val="000F645E"/>
    <w:rsid w:val="000F6943"/>
    <w:rsid w:val="0010006C"/>
    <w:rsid w:val="00101082"/>
    <w:rsid w:val="00103772"/>
    <w:rsid w:val="001103B2"/>
    <w:rsid w:val="00110ED2"/>
    <w:rsid w:val="00114105"/>
    <w:rsid w:val="0011690A"/>
    <w:rsid w:val="0012295B"/>
    <w:rsid w:val="00122A9A"/>
    <w:rsid w:val="00125007"/>
    <w:rsid w:val="001262C4"/>
    <w:rsid w:val="001328A7"/>
    <w:rsid w:val="001366D9"/>
    <w:rsid w:val="00136C10"/>
    <w:rsid w:val="00137CDA"/>
    <w:rsid w:val="00142499"/>
    <w:rsid w:val="00142787"/>
    <w:rsid w:val="0014590C"/>
    <w:rsid w:val="001505B6"/>
    <w:rsid w:val="0015107E"/>
    <w:rsid w:val="00151560"/>
    <w:rsid w:val="0015280E"/>
    <w:rsid w:val="00157A8E"/>
    <w:rsid w:val="00160D33"/>
    <w:rsid w:val="00160DE1"/>
    <w:rsid w:val="00161030"/>
    <w:rsid w:val="0016108A"/>
    <w:rsid w:val="00162256"/>
    <w:rsid w:val="001644F1"/>
    <w:rsid w:val="00166055"/>
    <w:rsid w:val="0016688D"/>
    <w:rsid w:val="001715AE"/>
    <w:rsid w:val="00173AC3"/>
    <w:rsid w:val="001775EC"/>
    <w:rsid w:val="00180919"/>
    <w:rsid w:val="0018148C"/>
    <w:rsid w:val="0018296D"/>
    <w:rsid w:val="00183A86"/>
    <w:rsid w:val="001848E2"/>
    <w:rsid w:val="0018760D"/>
    <w:rsid w:val="00194E75"/>
    <w:rsid w:val="001960AF"/>
    <w:rsid w:val="0019637E"/>
    <w:rsid w:val="001A5868"/>
    <w:rsid w:val="001B03BB"/>
    <w:rsid w:val="001B0DD7"/>
    <w:rsid w:val="001B46C7"/>
    <w:rsid w:val="001B6D17"/>
    <w:rsid w:val="001B7037"/>
    <w:rsid w:val="001C1EA4"/>
    <w:rsid w:val="001C2236"/>
    <w:rsid w:val="001C2CDA"/>
    <w:rsid w:val="001C5412"/>
    <w:rsid w:val="001C67A2"/>
    <w:rsid w:val="001C7498"/>
    <w:rsid w:val="001D3ACF"/>
    <w:rsid w:val="001D4F29"/>
    <w:rsid w:val="001D5B8A"/>
    <w:rsid w:val="001E0ED4"/>
    <w:rsid w:val="001E155D"/>
    <w:rsid w:val="001E277F"/>
    <w:rsid w:val="001F0F8D"/>
    <w:rsid w:val="002015F5"/>
    <w:rsid w:val="00202CC3"/>
    <w:rsid w:val="00203347"/>
    <w:rsid w:val="00204F02"/>
    <w:rsid w:val="00206C7C"/>
    <w:rsid w:val="002101C4"/>
    <w:rsid w:val="002126EC"/>
    <w:rsid w:val="00212DCB"/>
    <w:rsid w:val="002130D4"/>
    <w:rsid w:val="002243CA"/>
    <w:rsid w:val="0022496C"/>
    <w:rsid w:val="00226C3B"/>
    <w:rsid w:val="00226F35"/>
    <w:rsid w:val="0023340B"/>
    <w:rsid w:val="00234BF7"/>
    <w:rsid w:val="0024058F"/>
    <w:rsid w:val="0024379A"/>
    <w:rsid w:val="00245918"/>
    <w:rsid w:val="00246E11"/>
    <w:rsid w:val="00247461"/>
    <w:rsid w:val="002505E7"/>
    <w:rsid w:val="0025298B"/>
    <w:rsid w:val="002601FA"/>
    <w:rsid w:val="00262363"/>
    <w:rsid w:val="00262D3F"/>
    <w:rsid w:val="00263A41"/>
    <w:rsid w:val="00264769"/>
    <w:rsid w:val="0026684B"/>
    <w:rsid w:val="00271585"/>
    <w:rsid w:val="002722F7"/>
    <w:rsid w:val="00274AF7"/>
    <w:rsid w:val="00280698"/>
    <w:rsid w:val="002823D2"/>
    <w:rsid w:val="0028347D"/>
    <w:rsid w:val="00286B0E"/>
    <w:rsid w:val="00287725"/>
    <w:rsid w:val="00287DEF"/>
    <w:rsid w:val="00290162"/>
    <w:rsid w:val="00291DCC"/>
    <w:rsid w:val="00292BF1"/>
    <w:rsid w:val="0029606A"/>
    <w:rsid w:val="00296C72"/>
    <w:rsid w:val="00297FF4"/>
    <w:rsid w:val="002A375B"/>
    <w:rsid w:val="002A7B80"/>
    <w:rsid w:val="002B40BE"/>
    <w:rsid w:val="002B74F3"/>
    <w:rsid w:val="002C316E"/>
    <w:rsid w:val="002C3F6E"/>
    <w:rsid w:val="002C4C65"/>
    <w:rsid w:val="002C6F01"/>
    <w:rsid w:val="002D0598"/>
    <w:rsid w:val="002D5D76"/>
    <w:rsid w:val="002D63C6"/>
    <w:rsid w:val="002E52A8"/>
    <w:rsid w:val="002E5406"/>
    <w:rsid w:val="002E6A0F"/>
    <w:rsid w:val="002E6DA4"/>
    <w:rsid w:val="002F05B9"/>
    <w:rsid w:val="002F0635"/>
    <w:rsid w:val="002F06BB"/>
    <w:rsid w:val="002F3BB7"/>
    <w:rsid w:val="002F5456"/>
    <w:rsid w:val="00303B06"/>
    <w:rsid w:val="003049ED"/>
    <w:rsid w:val="00304B64"/>
    <w:rsid w:val="0030514A"/>
    <w:rsid w:val="00305F14"/>
    <w:rsid w:val="0030639B"/>
    <w:rsid w:val="0030749A"/>
    <w:rsid w:val="00310DC0"/>
    <w:rsid w:val="00311ED9"/>
    <w:rsid w:val="00315480"/>
    <w:rsid w:val="00316237"/>
    <w:rsid w:val="003205DC"/>
    <w:rsid w:val="003208B6"/>
    <w:rsid w:val="00320F90"/>
    <w:rsid w:val="00321555"/>
    <w:rsid w:val="00324D33"/>
    <w:rsid w:val="00326DD7"/>
    <w:rsid w:val="00327E16"/>
    <w:rsid w:val="00334BB3"/>
    <w:rsid w:val="00341EB6"/>
    <w:rsid w:val="00345BD8"/>
    <w:rsid w:val="00351203"/>
    <w:rsid w:val="00361A2D"/>
    <w:rsid w:val="00362A16"/>
    <w:rsid w:val="003679D5"/>
    <w:rsid w:val="003705E1"/>
    <w:rsid w:val="0037126B"/>
    <w:rsid w:val="00372485"/>
    <w:rsid w:val="0037498F"/>
    <w:rsid w:val="00377D20"/>
    <w:rsid w:val="003800B6"/>
    <w:rsid w:val="00382109"/>
    <w:rsid w:val="00382E6E"/>
    <w:rsid w:val="00386DB0"/>
    <w:rsid w:val="00387844"/>
    <w:rsid w:val="00387C57"/>
    <w:rsid w:val="0039002F"/>
    <w:rsid w:val="003923A4"/>
    <w:rsid w:val="0039583F"/>
    <w:rsid w:val="003975C0"/>
    <w:rsid w:val="003A1289"/>
    <w:rsid w:val="003A1931"/>
    <w:rsid w:val="003A6CF2"/>
    <w:rsid w:val="003B4E3F"/>
    <w:rsid w:val="003B6F49"/>
    <w:rsid w:val="003C190C"/>
    <w:rsid w:val="003C1D32"/>
    <w:rsid w:val="003C3D06"/>
    <w:rsid w:val="003C4012"/>
    <w:rsid w:val="003C4E95"/>
    <w:rsid w:val="003C7DE0"/>
    <w:rsid w:val="003D469D"/>
    <w:rsid w:val="003E0B3D"/>
    <w:rsid w:val="003E259E"/>
    <w:rsid w:val="003E2E9C"/>
    <w:rsid w:val="003E3EDC"/>
    <w:rsid w:val="003E527C"/>
    <w:rsid w:val="003E5D1C"/>
    <w:rsid w:val="003E7EA4"/>
    <w:rsid w:val="003F26E9"/>
    <w:rsid w:val="003F5367"/>
    <w:rsid w:val="003F5640"/>
    <w:rsid w:val="004028F8"/>
    <w:rsid w:val="0040786C"/>
    <w:rsid w:val="00411CAB"/>
    <w:rsid w:val="0041315C"/>
    <w:rsid w:val="0041328B"/>
    <w:rsid w:val="00421D28"/>
    <w:rsid w:val="00421E66"/>
    <w:rsid w:val="00422D19"/>
    <w:rsid w:val="00423EBC"/>
    <w:rsid w:val="00425B82"/>
    <w:rsid w:val="0042683A"/>
    <w:rsid w:val="00426CCE"/>
    <w:rsid w:val="0043069A"/>
    <w:rsid w:val="00430DF3"/>
    <w:rsid w:val="004310FA"/>
    <w:rsid w:val="004313FB"/>
    <w:rsid w:val="00431E53"/>
    <w:rsid w:val="0043276B"/>
    <w:rsid w:val="00432777"/>
    <w:rsid w:val="00433A68"/>
    <w:rsid w:val="004350DA"/>
    <w:rsid w:val="004367C9"/>
    <w:rsid w:val="004425FA"/>
    <w:rsid w:val="0044464E"/>
    <w:rsid w:val="00444A5A"/>
    <w:rsid w:val="00444F7A"/>
    <w:rsid w:val="004461BD"/>
    <w:rsid w:val="00447D7B"/>
    <w:rsid w:val="00450957"/>
    <w:rsid w:val="00450AE6"/>
    <w:rsid w:val="0045163E"/>
    <w:rsid w:val="00457AF2"/>
    <w:rsid w:val="00457EB3"/>
    <w:rsid w:val="0046036A"/>
    <w:rsid w:val="00463408"/>
    <w:rsid w:val="004639B8"/>
    <w:rsid w:val="00463D0B"/>
    <w:rsid w:val="00471917"/>
    <w:rsid w:val="00474161"/>
    <w:rsid w:val="0047567F"/>
    <w:rsid w:val="00483947"/>
    <w:rsid w:val="00486718"/>
    <w:rsid w:val="00496568"/>
    <w:rsid w:val="004967E3"/>
    <w:rsid w:val="004A313D"/>
    <w:rsid w:val="004A4504"/>
    <w:rsid w:val="004A452E"/>
    <w:rsid w:val="004A54F2"/>
    <w:rsid w:val="004A6D85"/>
    <w:rsid w:val="004B15A2"/>
    <w:rsid w:val="004B233F"/>
    <w:rsid w:val="004B26CD"/>
    <w:rsid w:val="004B3644"/>
    <w:rsid w:val="004B3B01"/>
    <w:rsid w:val="004B470D"/>
    <w:rsid w:val="004B47E2"/>
    <w:rsid w:val="004B687A"/>
    <w:rsid w:val="004B6C6B"/>
    <w:rsid w:val="004C2BA4"/>
    <w:rsid w:val="004C4161"/>
    <w:rsid w:val="004C6299"/>
    <w:rsid w:val="004C62A8"/>
    <w:rsid w:val="004C6B46"/>
    <w:rsid w:val="004D1A26"/>
    <w:rsid w:val="004D24EA"/>
    <w:rsid w:val="004D2D5D"/>
    <w:rsid w:val="004D405C"/>
    <w:rsid w:val="004D487A"/>
    <w:rsid w:val="004D6792"/>
    <w:rsid w:val="004D785D"/>
    <w:rsid w:val="004E2192"/>
    <w:rsid w:val="004E432D"/>
    <w:rsid w:val="004E4DD1"/>
    <w:rsid w:val="004E51ED"/>
    <w:rsid w:val="004E6097"/>
    <w:rsid w:val="004E7E5C"/>
    <w:rsid w:val="004F0024"/>
    <w:rsid w:val="004F0B8A"/>
    <w:rsid w:val="004F0C09"/>
    <w:rsid w:val="004F1C5E"/>
    <w:rsid w:val="004F39CC"/>
    <w:rsid w:val="004F405D"/>
    <w:rsid w:val="004F4416"/>
    <w:rsid w:val="004F5883"/>
    <w:rsid w:val="00505485"/>
    <w:rsid w:val="0051035F"/>
    <w:rsid w:val="00513D99"/>
    <w:rsid w:val="0052309C"/>
    <w:rsid w:val="005235D2"/>
    <w:rsid w:val="00524549"/>
    <w:rsid w:val="00526E8F"/>
    <w:rsid w:val="00527B97"/>
    <w:rsid w:val="00530F57"/>
    <w:rsid w:val="005314A3"/>
    <w:rsid w:val="00533CFF"/>
    <w:rsid w:val="00534C42"/>
    <w:rsid w:val="00536163"/>
    <w:rsid w:val="00543798"/>
    <w:rsid w:val="00547AA1"/>
    <w:rsid w:val="005521BA"/>
    <w:rsid w:val="005522E6"/>
    <w:rsid w:val="00557026"/>
    <w:rsid w:val="00560B93"/>
    <w:rsid w:val="00562AC1"/>
    <w:rsid w:val="00567567"/>
    <w:rsid w:val="0057018B"/>
    <w:rsid w:val="00572A01"/>
    <w:rsid w:val="00573D97"/>
    <w:rsid w:val="00573E27"/>
    <w:rsid w:val="005743DD"/>
    <w:rsid w:val="00575834"/>
    <w:rsid w:val="0058355E"/>
    <w:rsid w:val="0058449E"/>
    <w:rsid w:val="00584E43"/>
    <w:rsid w:val="00585DAC"/>
    <w:rsid w:val="00590779"/>
    <w:rsid w:val="00591897"/>
    <w:rsid w:val="0059415C"/>
    <w:rsid w:val="00594CD9"/>
    <w:rsid w:val="005A1E4B"/>
    <w:rsid w:val="005A514F"/>
    <w:rsid w:val="005A6B6B"/>
    <w:rsid w:val="005B0D80"/>
    <w:rsid w:val="005B339A"/>
    <w:rsid w:val="005B4C81"/>
    <w:rsid w:val="005B5241"/>
    <w:rsid w:val="005B6DAE"/>
    <w:rsid w:val="005C08C7"/>
    <w:rsid w:val="005C1F78"/>
    <w:rsid w:val="005C2626"/>
    <w:rsid w:val="005C4BD6"/>
    <w:rsid w:val="005C4E43"/>
    <w:rsid w:val="005C5B96"/>
    <w:rsid w:val="005C6150"/>
    <w:rsid w:val="005C6994"/>
    <w:rsid w:val="005C704E"/>
    <w:rsid w:val="005D24E3"/>
    <w:rsid w:val="005D26B4"/>
    <w:rsid w:val="005D2A48"/>
    <w:rsid w:val="005D398E"/>
    <w:rsid w:val="005D72B4"/>
    <w:rsid w:val="005E064F"/>
    <w:rsid w:val="005E2C72"/>
    <w:rsid w:val="005E3602"/>
    <w:rsid w:val="005E4C07"/>
    <w:rsid w:val="005E4C52"/>
    <w:rsid w:val="005E5681"/>
    <w:rsid w:val="005E579E"/>
    <w:rsid w:val="005F028A"/>
    <w:rsid w:val="005F0E8E"/>
    <w:rsid w:val="005F1449"/>
    <w:rsid w:val="005F3769"/>
    <w:rsid w:val="005F45C8"/>
    <w:rsid w:val="00600A72"/>
    <w:rsid w:val="00602E68"/>
    <w:rsid w:val="00610D59"/>
    <w:rsid w:val="006111E9"/>
    <w:rsid w:val="00611BAD"/>
    <w:rsid w:val="006128F8"/>
    <w:rsid w:val="00616C76"/>
    <w:rsid w:val="00617580"/>
    <w:rsid w:val="00617765"/>
    <w:rsid w:val="00617F65"/>
    <w:rsid w:val="00622F6F"/>
    <w:rsid w:val="006262BD"/>
    <w:rsid w:val="0062635B"/>
    <w:rsid w:val="00630053"/>
    <w:rsid w:val="00630086"/>
    <w:rsid w:val="006302D5"/>
    <w:rsid w:val="00630B21"/>
    <w:rsid w:val="0063131B"/>
    <w:rsid w:val="006350CB"/>
    <w:rsid w:val="00635581"/>
    <w:rsid w:val="00635CB1"/>
    <w:rsid w:val="00647A25"/>
    <w:rsid w:val="00650A70"/>
    <w:rsid w:val="0065129A"/>
    <w:rsid w:val="006515F6"/>
    <w:rsid w:val="0065281E"/>
    <w:rsid w:val="00655ED4"/>
    <w:rsid w:val="006577AD"/>
    <w:rsid w:val="0066006A"/>
    <w:rsid w:val="00662A84"/>
    <w:rsid w:val="00663773"/>
    <w:rsid w:val="00664152"/>
    <w:rsid w:val="0066683A"/>
    <w:rsid w:val="006705F9"/>
    <w:rsid w:val="00672D99"/>
    <w:rsid w:val="00673F53"/>
    <w:rsid w:val="00677179"/>
    <w:rsid w:val="00684DE4"/>
    <w:rsid w:val="006855E8"/>
    <w:rsid w:val="0068565F"/>
    <w:rsid w:val="006857E1"/>
    <w:rsid w:val="0068658D"/>
    <w:rsid w:val="00686949"/>
    <w:rsid w:val="00693029"/>
    <w:rsid w:val="0069369C"/>
    <w:rsid w:val="006A66E5"/>
    <w:rsid w:val="006B0BB3"/>
    <w:rsid w:val="006B161E"/>
    <w:rsid w:val="006B242F"/>
    <w:rsid w:val="006B4106"/>
    <w:rsid w:val="006B4EB7"/>
    <w:rsid w:val="006B64B0"/>
    <w:rsid w:val="006B6863"/>
    <w:rsid w:val="006B7C3D"/>
    <w:rsid w:val="006C1BD8"/>
    <w:rsid w:val="006C27ED"/>
    <w:rsid w:val="006C7824"/>
    <w:rsid w:val="006D1787"/>
    <w:rsid w:val="006D1FF8"/>
    <w:rsid w:val="006D2CA5"/>
    <w:rsid w:val="006D4315"/>
    <w:rsid w:val="006D4859"/>
    <w:rsid w:val="006D5309"/>
    <w:rsid w:val="006E2EB5"/>
    <w:rsid w:val="006E3009"/>
    <w:rsid w:val="006E4D92"/>
    <w:rsid w:val="006E51AC"/>
    <w:rsid w:val="006E5C4D"/>
    <w:rsid w:val="006F1EC7"/>
    <w:rsid w:val="006F4C1D"/>
    <w:rsid w:val="006F60AD"/>
    <w:rsid w:val="006F6AA3"/>
    <w:rsid w:val="0070433A"/>
    <w:rsid w:val="00704B36"/>
    <w:rsid w:val="0070526F"/>
    <w:rsid w:val="00714153"/>
    <w:rsid w:val="007145AC"/>
    <w:rsid w:val="00715E40"/>
    <w:rsid w:val="0072074E"/>
    <w:rsid w:val="00724795"/>
    <w:rsid w:val="00727A01"/>
    <w:rsid w:val="007305A9"/>
    <w:rsid w:val="0073104E"/>
    <w:rsid w:val="007315CA"/>
    <w:rsid w:val="00733F2C"/>
    <w:rsid w:val="00734C1B"/>
    <w:rsid w:val="00735723"/>
    <w:rsid w:val="00735990"/>
    <w:rsid w:val="007422F7"/>
    <w:rsid w:val="00745232"/>
    <w:rsid w:val="00745F83"/>
    <w:rsid w:val="007467E2"/>
    <w:rsid w:val="00754AF5"/>
    <w:rsid w:val="00757E1E"/>
    <w:rsid w:val="00761E81"/>
    <w:rsid w:val="007624A0"/>
    <w:rsid w:val="00762DD9"/>
    <w:rsid w:val="00766FD0"/>
    <w:rsid w:val="00770DFE"/>
    <w:rsid w:val="007732A6"/>
    <w:rsid w:val="007737CB"/>
    <w:rsid w:val="00777E85"/>
    <w:rsid w:val="00782C62"/>
    <w:rsid w:val="00787D52"/>
    <w:rsid w:val="00791DDA"/>
    <w:rsid w:val="007938D2"/>
    <w:rsid w:val="0079450C"/>
    <w:rsid w:val="00794D8D"/>
    <w:rsid w:val="007968FC"/>
    <w:rsid w:val="007A0D71"/>
    <w:rsid w:val="007A1413"/>
    <w:rsid w:val="007A19F0"/>
    <w:rsid w:val="007A5B5D"/>
    <w:rsid w:val="007B3AA9"/>
    <w:rsid w:val="007B3C14"/>
    <w:rsid w:val="007B414D"/>
    <w:rsid w:val="007B6BDB"/>
    <w:rsid w:val="007C021D"/>
    <w:rsid w:val="007C685E"/>
    <w:rsid w:val="007D4E06"/>
    <w:rsid w:val="007D57AC"/>
    <w:rsid w:val="007D60EF"/>
    <w:rsid w:val="007D6E44"/>
    <w:rsid w:val="007D6F1A"/>
    <w:rsid w:val="007E1891"/>
    <w:rsid w:val="007E1DBD"/>
    <w:rsid w:val="007E21F4"/>
    <w:rsid w:val="007E2393"/>
    <w:rsid w:val="007E3D2A"/>
    <w:rsid w:val="007E481F"/>
    <w:rsid w:val="007E52C5"/>
    <w:rsid w:val="007E5A53"/>
    <w:rsid w:val="007F0105"/>
    <w:rsid w:val="007F099B"/>
    <w:rsid w:val="007F1A1D"/>
    <w:rsid w:val="007F6571"/>
    <w:rsid w:val="00800A2B"/>
    <w:rsid w:val="00803265"/>
    <w:rsid w:val="008059D8"/>
    <w:rsid w:val="00807334"/>
    <w:rsid w:val="008118B7"/>
    <w:rsid w:val="0081290E"/>
    <w:rsid w:val="008220FA"/>
    <w:rsid w:val="008224F7"/>
    <w:rsid w:val="00822B57"/>
    <w:rsid w:val="0083313C"/>
    <w:rsid w:val="00837140"/>
    <w:rsid w:val="00837D44"/>
    <w:rsid w:val="00840024"/>
    <w:rsid w:val="00842AA3"/>
    <w:rsid w:val="008449C2"/>
    <w:rsid w:val="008454AE"/>
    <w:rsid w:val="00845B83"/>
    <w:rsid w:val="008515A4"/>
    <w:rsid w:val="00852A1E"/>
    <w:rsid w:val="00853781"/>
    <w:rsid w:val="008548B8"/>
    <w:rsid w:val="00854E57"/>
    <w:rsid w:val="0086005B"/>
    <w:rsid w:val="00860984"/>
    <w:rsid w:val="00862B16"/>
    <w:rsid w:val="00871F13"/>
    <w:rsid w:val="008723FA"/>
    <w:rsid w:val="00873BAA"/>
    <w:rsid w:val="008748A5"/>
    <w:rsid w:val="00883C61"/>
    <w:rsid w:val="0088521B"/>
    <w:rsid w:val="0088548E"/>
    <w:rsid w:val="00891A8F"/>
    <w:rsid w:val="00892872"/>
    <w:rsid w:val="00892B37"/>
    <w:rsid w:val="00894B34"/>
    <w:rsid w:val="00894F31"/>
    <w:rsid w:val="0089612B"/>
    <w:rsid w:val="008A03FD"/>
    <w:rsid w:val="008A06A5"/>
    <w:rsid w:val="008A5936"/>
    <w:rsid w:val="008B502E"/>
    <w:rsid w:val="008C0156"/>
    <w:rsid w:val="008C1850"/>
    <w:rsid w:val="008C1C06"/>
    <w:rsid w:val="008C3BED"/>
    <w:rsid w:val="008C53BB"/>
    <w:rsid w:val="008C7973"/>
    <w:rsid w:val="008D28BC"/>
    <w:rsid w:val="008D5BD5"/>
    <w:rsid w:val="008E0108"/>
    <w:rsid w:val="008E4E19"/>
    <w:rsid w:val="008F04EA"/>
    <w:rsid w:val="008F05A5"/>
    <w:rsid w:val="008F27A8"/>
    <w:rsid w:val="008F2B24"/>
    <w:rsid w:val="008F3F41"/>
    <w:rsid w:val="008F4732"/>
    <w:rsid w:val="009007E8"/>
    <w:rsid w:val="00901349"/>
    <w:rsid w:val="00904B77"/>
    <w:rsid w:val="009065B1"/>
    <w:rsid w:val="00907649"/>
    <w:rsid w:val="0091050D"/>
    <w:rsid w:val="00910E88"/>
    <w:rsid w:val="00912856"/>
    <w:rsid w:val="009204ED"/>
    <w:rsid w:val="00920EC2"/>
    <w:rsid w:val="00920FA4"/>
    <w:rsid w:val="00921705"/>
    <w:rsid w:val="00921D9B"/>
    <w:rsid w:val="0092422C"/>
    <w:rsid w:val="00925940"/>
    <w:rsid w:val="00933EAB"/>
    <w:rsid w:val="009347F6"/>
    <w:rsid w:val="0093740E"/>
    <w:rsid w:val="00941E5F"/>
    <w:rsid w:val="009438BA"/>
    <w:rsid w:val="0094586B"/>
    <w:rsid w:val="00945E78"/>
    <w:rsid w:val="0094682A"/>
    <w:rsid w:val="00946CB1"/>
    <w:rsid w:val="00950044"/>
    <w:rsid w:val="00951A71"/>
    <w:rsid w:val="00952B63"/>
    <w:rsid w:val="00952E5E"/>
    <w:rsid w:val="00953FBD"/>
    <w:rsid w:val="009565D9"/>
    <w:rsid w:val="009569A8"/>
    <w:rsid w:val="00957784"/>
    <w:rsid w:val="00961C67"/>
    <w:rsid w:val="00961E98"/>
    <w:rsid w:val="00964493"/>
    <w:rsid w:val="0096580F"/>
    <w:rsid w:val="0097263D"/>
    <w:rsid w:val="00974939"/>
    <w:rsid w:val="00974957"/>
    <w:rsid w:val="0097644E"/>
    <w:rsid w:val="009829EA"/>
    <w:rsid w:val="00986C54"/>
    <w:rsid w:val="009914F6"/>
    <w:rsid w:val="00991F4F"/>
    <w:rsid w:val="0099395D"/>
    <w:rsid w:val="0099501B"/>
    <w:rsid w:val="009A519B"/>
    <w:rsid w:val="009A52CE"/>
    <w:rsid w:val="009B066F"/>
    <w:rsid w:val="009B22F2"/>
    <w:rsid w:val="009B2FBF"/>
    <w:rsid w:val="009B4813"/>
    <w:rsid w:val="009C11D5"/>
    <w:rsid w:val="009C194A"/>
    <w:rsid w:val="009C2F6C"/>
    <w:rsid w:val="009C2FEB"/>
    <w:rsid w:val="009C664B"/>
    <w:rsid w:val="009C6CB2"/>
    <w:rsid w:val="009C7088"/>
    <w:rsid w:val="009D065E"/>
    <w:rsid w:val="009D2199"/>
    <w:rsid w:val="009D2882"/>
    <w:rsid w:val="009D3DC8"/>
    <w:rsid w:val="009D5C55"/>
    <w:rsid w:val="009D799F"/>
    <w:rsid w:val="009E0DCD"/>
    <w:rsid w:val="009E1ED0"/>
    <w:rsid w:val="009E2B5A"/>
    <w:rsid w:val="009E4B68"/>
    <w:rsid w:val="009E5786"/>
    <w:rsid w:val="009E6750"/>
    <w:rsid w:val="009F175F"/>
    <w:rsid w:val="009F4237"/>
    <w:rsid w:val="00A0366C"/>
    <w:rsid w:val="00A1253E"/>
    <w:rsid w:val="00A1461B"/>
    <w:rsid w:val="00A204FD"/>
    <w:rsid w:val="00A22858"/>
    <w:rsid w:val="00A22E43"/>
    <w:rsid w:val="00A24710"/>
    <w:rsid w:val="00A25174"/>
    <w:rsid w:val="00A26B03"/>
    <w:rsid w:val="00A30354"/>
    <w:rsid w:val="00A3192F"/>
    <w:rsid w:val="00A33F37"/>
    <w:rsid w:val="00A437C9"/>
    <w:rsid w:val="00A438B0"/>
    <w:rsid w:val="00A43C2E"/>
    <w:rsid w:val="00A46994"/>
    <w:rsid w:val="00A475FB"/>
    <w:rsid w:val="00A47946"/>
    <w:rsid w:val="00A53AC2"/>
    <w:rsid w:val="00A54E81"/>
    <w:rsid w:val="00A56251"/>
    <w:rsid w:val="00A56318"/>
    <w:rsid w:val="00A57F08"/>
    <w:rsid w:val="00A57F4F"/>
    <w:rsid w:val="00A62BBD"/>
    <w:rsid w:val="00A655AC"/>
    <w:rsid w:val="00A667DE"/>
    <w:rsid w:val="00A67A8B"/>
    <w:rsid w:val="00A67ADC"/>
    <w:rsid w:val="00A7163B"/>
    <w:rsid w:val="00A72245"/>
    <w:rsid w:val="00A81C24"/>
    <w:rsid w:val="00A82F37"/>
    <w:rsid w:val="00A84B7E"/>
    <w:rsid w:val="00A84D90"/>
    <w:rsid w:val="00A87482"/>
    <w:rsid w:val="00A9125C"/>
    <w:rsid w:val="00A92DCC"/>
    <w:rsid w:val="00AA013D"/>
    <w:rsid w:val="00AA78E1"/>
    <w:rsid w:val="00AB1791"/>
    <w:rsid w:val="00AB1DEA"/>
    <w:rsid w:val="00AB309B"/>
    <w:rsid w:val="00AB45BE"/>
    <w:rsid w:val="00AB47AA"/>
    <w:rsid w:val="00AB514B"/>
    <w:rsid w:val="00AB6511"/>
    <w:rsid w:val="00AB6E23"/>
    <w:rsid w:val="00AD0478"/>
    <w:rsid w:val="00AD1862"/>
    <w:rsid w:val="00AD33D8"/>
    <w:rsid w:val="00AD4857"/>
    <w:rsid w:val="00AD60F5"/>
    <w:rsid w:val="00AD6808"/>
    <w:rsid w:val="00AE1B78"/>
    <w:rsid w:val="00AE2A34"/>
    <w:rsid w:val="00AE4229"/>
    <w:rsid w:val="00AE4D3E"/>
    <w:rsid w:val="00AE7243"/>
    <w:rsid w:val="00AF348F"/>
    <w:rsid w:val="00AF370B"/>
    <w:rsid w:val="00AF5190"/>
    <w:rsid w:val="00AF52A6"/>
    <w:rsid w:val="00AF58E4"/>
    <w:rsid w:val="00AF6710"/>
    <w:rsid w:val="00AF79F5"/>
    <w:rsid w:val="00B019E8"/>
    <w:rsid w:val="00B0479F"/>
    <w:rsid w:val="00B05B44"/>
    <w:rsid w:val="00B114E4"/>
    <w:rsid w:val="00B114EB"/>
    <w:rsid w:val="00B142AC"/>
    <w:rsid w:val="00B162D0"/>
    <w:rsid w:val="00B171FE"/>
    <w:rsid w:val="00B1793F"/>
    <w:rsid w:val="00B17E52"/>
    <w:rsid w:val="00B25F77"/>
    <w:rsid w:val="00B267A5"/>
    <w:rsid w:val="00B27865"/>
    <w:rsid w:val="00B325BE"/>
    <w:rsid w:val="00B32C98"/>
    <w:rsid w:val="00B348E9"/>
    <w:rsid w:val="00B35CA9"/>
    <w:rsid w:val="00B3701A"/>
    <w:rsid w:val="00B44296"/>
    <w:rsid w:val="00B447AC"/>
    <w:rsid w:val="00B44B0A"/>
    <w:rsid w:val="00B46A4F"/>
    <w:rsid w:val="00B56DF6"/>
    <w:rsid w:val="00B57D0E"/>
    <w:rsid w:val="00B61A07"/>
    <w:rsid w:val="00B7310B"/>
    <w:rsid w:val="00B73B5B"/>
    <w:rsid w:val="00B744F0"/>
    <w:rsid w:val="00B776A6"/>
    <w:rsid w:val="00B84038"/>
    <w:rsid w:val="00B855EA"/>
    <w:rsid w:val="00B8790C"/>
    <w:rsid w:val="00B87B0A"/>
    <w:rsid w:val="00B90119"/>
    <w:rsid w:val="00B928D7"/>
    <w:rsid w:val="00B935F7"/>
    <w:rsid w:val="00B93BD0"/>
    <w:rsid w:val="00B93D02"/>
    <w:rsid w:val="00B95CF3"/>
    <w:rsid w:val="00B96D52"/>
    <w:rsid w:val="00BA1DF6"/>
    <w:rsid w:val="00BA2659"/>
    <w:rsid w:val="00BA3EFE"/>
    <w:rsid w:val="00BA6532"/>
    <w:rsid w:val="00BB2F0A"/>
    <w:rsid w:val="00BB3754"/>
    <w:rsid w:val="00BB51A2"/>
    <w:rsid w:val="00BB7777"/>
    <w:rsid w:val="00BC2483"/>
    <w:rsid w:val="00BC5441"/>
    <w:rsid w:val="00BD08A7"/>
    <w:rsid w:val="00BD26BF"/>
    <w:rsid w:val="00BD7D88"/>
    <w:rsid w:val="00BE006A"/>
    <w:rsid w:val="00BE0BB3"/>
    <w:rsid w:val="00BE23E6"/>
    <w:rsid w:val="00BE2A03"/>
    <w:rsid w:val="00BE4077"/>
    <w:rsid w:val="00BE55E6"/>
    <w:rsid w:val="00BE6AA2"/>
    <w:rsid w:val="00BE73FC"/>
    <w:rsid w:val="00BE76E1"/>
    <w:rsid w:val="00BF0F8E"/>
    <w:rsid w:val="00BF23D4"/>
    <w:rsid w:val="00BF34A9"/>
    <w:rsid w:val="00BF3CD9"/>
    <w:rsid w:val="00BF3F17"/>
    <w:rsid w:val="00BF40A6"/>
    <w:rsid w:val="00BF5F3B"/>
    <w:rsid w:val="00BF708B"/>
    <w:rsid w:val="00BF7B6A"/>
    <w:rsid w:val="00BF7DDD"/>
    <w:rsid w:val="00C03EF8"/>
    <w:rsid w:val="00C050E4"/>
    <w:rsid w:val="00C07799"/>
    <w:rsid w:val="00C13714"/>
    <w:rsid w:val="00C14E32"/>
    <w:rsid w:val="00C2189B"/>
    <w:rsid w:val="00C21B9F"/>
    <w:rsid w:val="00C21E2A"/>
    <w:rsid w:val="00C225EE"/>
    <w:rsid w:val="00C263A0"/>
    <w:rsid w:val="00C267DE"/>
    <w:rsid w:val="00C314B4"/>
    <w:rsid w:val="00C318C5"/>
    <w:rsid w:val="00C34C6B"/>
    <w:rsid w:val="00C41AE6"/>
    <w:rsid w:val="00C4406D"/>
    <w:rsid w:val="00C5384F"/>
    <w:rsid w:val="00C5572F"/>
    <w:rsid w:val="00C55FFC"/>
    <w:rsid w:val="00C5639C"/>
    <w:rsid w:val="00C578ED"/>
    <w:rsid w:val="00C6125E"/>
    <w:rsid w:val="00C70E1C"/>
    <w:rsid w:val="00C70FE3"/>
    <w:rsid w:val="00C7546E"/>
    <w:rsid w:val="00C76780"/>
    <w:rsid w:val="00C77E1C"/>
    <w:rsid w:val="00C8045F"/>
    <w:rsid w:val="00C82712"/>
    <w:rsid w:val="00C82A1F"/>
    <w:rsid w:val="00C83A81"/>
    <w:rsid w:val="00C84250"/>
    <w:rsid w:val="00C85EFA"/>
    <w:rsid w:val="00C9526D"/>
    <w:rsid w:val="00CA153F"/>
    <w:rsid w:val="00CA1941"/>
    <w:rsid w:val="00CA4C35"/>
    <w:rsid w:val="00CA666F"/>
    <w:rsid w:val="00CA70AB"/>
    <w:rsid w:val="00CB043E"/>
    <w:rsid w:val="00CB5EA4"/>
    <w:rsid w:val="00CB7596"/>
    <w:rsid w:val="00CB7839"/>
    <w:rsid w:val="00CB7E95"/>
    <w:rsid w:val="00CC59AE"/>
    <w:rsid w:val="00CC749B"/>
    <w:rsid w:val="00CD0AE7"/>
    <w:rsid w:val="00CD0D5E"/>
    <w:rsid w:val="00CD48B6"/>
    <w:rsid w:val="00CD6159"/>
    <w:rsid w:val="00CD7ADF"/>
    <w:rsid w:val="00CE146E"/>
    <w:rsid w:val="00CE4AC6"/>
    <w:rsid w:val="00CE64FD"/>
    <w:rsid w:val="00CE7461"/>
    <w:rsid w:val="00CE7C31"/>
    <w:rsid w:val="00CE7F6A"/>
    <w:rsid w:val="00CF161D"/>
    <w:rsid w:val="00CF291F"/>
    <w:rsid w:val="00CF326A"/>
    <w:rsid w:val="00CF4909"/>
    <w:rsid w:val="00D01EC6"/>
    <w:rsid w:val="00D116D9"/>
    <w:rsid w:val="00D16367"/>
    <w:rsid w:val="00D1646C"/>
    <w:rsid w:val="00D16CA7"/>
    <w:rsid w:val="00D172C0"/>
    <w:rsid w:val="00D20266"/>
    <w:rsid w:val="00D22438"/>
    <w:rsid w:val="00D243D4"/>
    <w:rsid w:val="00D2477F"/>
    <w:rsid w:val="00D31330"/>
    <w:rsid w:val="00D32563"/>
    <w:rsid w:val="00D32A88"/>
    <w:rsid w:val="00D33BDE"/>
    <w:rsid w:val="00D341B4"/>
    <w:rsid w:val="00D3793F"/>
    <w:rsid w:val="00D405AD"/>
    <w:rsid w:val="00D527F1"/>
    <w:rsid w:val="00D52F33"/>
    <w:rsid w:val="00D53C76"/>
    <w:rsid w:val="00D564DE"/>
    <w:rsid w:val="00D577AF"/>
    <w:rsid w:val="00D61730"/>
    <w:rsid w:val="00D62BF7"/>
    <w:rsid w:val="00D63532"/>
    <w:rsid w:val="00D6355C"/>
    <w:rsid w:val="00D636DC"/>
    <w:rsid w:val="00D70D20"/>
    <w:rsid w:val="00D72661"/>
    <w:rsid w:val="00D72B2F"/>
    <w:rsid w:val="00D7419B"/>
    <w:rsid w:val="00D746F4"/>
    <w:rsid w:val="00D76153"/>
    <w:rsid w:val="00D77C35"/>
    <w:rsid w:val="00D8184B"/>
    <w:rsid w:val="00D822EA"/>
    <w:rsid w:val="00D82C56"/>
    <w:rsid w:val="00D909FD"/>
    <w:rsid w:val="00D93720"/>
    <w:rsid w:val="00DA0E2F"/>
    <w:rsid w:val="00DA0F76"/>
    <w:rsid w:val="00DA3306"/>
    <w:rsid w:val="00DA3D21"/>
    <w:rsid w:val="00DA49C0"/>
    <w:rsid w:val="00DB2C3B"/>
    <w:rsid w:val="00DB43F3"/>
    <w:rsid w:val="00DC0561"/>
    <w:rsid w:val="00DC0E67"/>
    <w:rsid w:val="00DC1E93"/>
    <w:rsid w:val="00DC1FA5"/>
    <w:rsid w:val="00DC2D0E"/>
    <w:rsid w:val="00DC2EE1"/>
    <w:rsid w:val="00DC52C9"/>
    <w:rsid w:val="00DC7008"/>
    <w:rsid w:val="00DC7D8D"/>
    <w:rsid w:val="00DD0639"/>
    <w:rsid w:val="00DD1102"/>
    <w:rsid w:val="00DD234E"/>
    <w:rsid w:val="00DD3BC7"/>
    <w:rsid w:val="00DD412C"/>
    <w:rsid w:val="00DD7161"/>
    <w:rsid w:val="00DD7784"/>
    <w:rsid w:val="00DD7B7F"/>
    <w:rsid w:val="00DE034E"/>
    <w:rsid w:val="00DE1492"/>
    <w:rsid w:val="00DE42F8"/>
    <w:rsid w:val="00DE4797"/>
    <w:rsid w:val="00DE5F49"/>
    <w:rsid w:val="00DE7DC5"/>
    <w:rsid w:val="00DF0F61"/>
    <w:rsid w:val="00DF1F60"/>
    <w:rsid w:val="00DF20C4"/>
    <w:rsid w:val="00DF6B79"/>
    <w:rsid w:val="00E0335E"/>
    <w:rsid w:val="00E14BF8"/>
    <w:rsid w:val="00E15A9C"/>
    <w:rsid w:val="00E17B47"/>
    <w:rsid w:val="00E2022F"/>
    <w:rsid w:val="00E237CA"/>
    <w:rsid w:val="00E277AE"/>
    <w:rsid w:val="00E27CBB"/>
    <w:rsid w:val="00E30514"/>
    <w:rsid w:val="00E309B7"/>
    <w:rsid w:val="00E329E0"/>
    <w:rsid w:val="00E33305"/>
    <w:rsid w:val="00E3365D"/>
    <w:rsid w:val="00E35C24"/>
    <w:rsid w:val="00E36AD6"/>
    <w:rsid w:val="00E41D68"/>
    <w:rsid w:val="00E42549"/>
    <w:rsid w:val="00E502F7"/>
    <w:rsid w:val="00E504E0"/>
    <w:rsid w:val="00E56D78"/>
    <w:rsid w:val="00E61AB0"/>
    <w:rsid w:val="00E6582B"/>
    <w:rsid w:val="00E66501"/>
    <w:rsid w:val="00E7526F"/>
    <w:rsid w:val="00E76B2D"/>
    <w:rsid w:val="00E801F6"/>
    <w:rsid w:val="00E80770"/>
    <w:rsid w:val="00E81B62"/>
    <w:rsid w:val="00E81E6E"/>
    <w:rsid w:val="00E82024"/>
    <w:rsid w:val="00E847C3"/>
    <w:rsid w:val="00E852B1"/>
    <w:rsid w:val="00E86083"/>
    <w:rsid w:val="00E865E6"/>
    <w:rsid w:val="00E91E8E"/>
    <w:rsid w:val="00E9258A"/>
    <w:rsid w:val="00E940C6"/>
    <w:rsid w:val="00E9609A"/>
    <w:rsid w:val="00EA3206"/>
    <w:rsid w:val="00EA38B0"/>
    <w:rsid w:val="00EA4AA6"/>
    <w:rsid w:val="00EA619E"/>
    <w:rsid w:val="00EA7809"/>
    <w:rsid w:val="00EB0BA7"/>
    <w:rsid w:val="00EB1F79"/>
    <w:rsid w:val="00EB5D6D"/>
    <w:rsid w:val="00EB76FE"/>
    <w:rsid w:val="00EB7D37"/>
    <w:rsid w:val="00EC0305"/>
    <w:rsid w:val="00EC1802"/>
    <w:rsid w:val="00EC410C"/>
    <w:rsid w:val="00EC60F1"/>
    <w:rsid w:val="00EC6743"/>
    <w:rsid w:val="00EC686E"/>
    <w:rsid w:val="00EC795A"/>
    <w:rsid w:val="00EC7A2F"/>
    <w:rsid w:val="00ED009C"/>
    <w:rsid w:val="00ED2D81"/>
    <w:rsid w:val="00ED2FFA"/>
    <w:rsid w:val="00ED4802"/>
    <w:rsid w:val="00EE019F"/>
    <w:rsid w:val="00EE13D4"/>
    <w:rsid w:val="00EE2ECB"/>
    <w:rsid w:val="00EE3018"/>
    <w:rsid w:val="00EE3884"/>
    <w:rsid w:val="00EE4443"/>
    <w:rsid w:val="00EE4AD9"/>
    <w:rsid w:val="00EE4F46"/>
    <w:rsid w:val="00EF0B15"/>
    <w:rsid w:val="00EF2CA4"/>
    <w:rsid w:val="00EF7490"/>
    <w:rsid w:val="00EF772E"/>
    <w:rsid w:val="00F00629"/>
    <w:rsid w:val="00F078B0"/>
    <w:rsid w:val="00F1067A"/>
    <w:rsid w:val="00F10BD6"/>
    <w:rsid w:val="00F10DE2"/>
    <w:rsid w:val="00F10F13"/>
    <w:rsid w:val="00F135B7"/>
    <w:rsid w:val="00F136C3"/>
    <w:rsid w:val="00F13F5D"/>
    <w:rsid w:val="00F154D4"/>
    <w:rsid w:val="00F20E15"/>
    <w:rsid w:val="00F223B0"/>
    <w:rsid w:val="00F24CD0"/>
    <w:rsid w:val="00F25375"/>
    <w:rsid w:val="00F25B8F"/>
    <w:rsid w:val="00F26EC7"/>
    <w:rsid w:val="00F3077B"/>
    <w:rsid w:val="00F36E1E"/>
    <w:rsid w:val="00F3728F"/>
    <w:rsid w:val="00F377AF"/>
    <w:rsid w:val="00F42222"/>
    <w:rsid w:val="00F43654"/>
    <w:rsid w:val="00F451C7"/>
    <w:rsid w:val="00F45FB0"/>
    <w:rsid w:val="00F471AA"/>
    <w:rsid w:val="00F509DD"/>
    <w:rsid w:val="00F517BC"/>
    <w:rsid w:val="00F51FAB"/>
    <w:rsid w:val="00F5240B"/>
    <w:rsid w:val="00F53869"/>
    <w:rsid w:val="00F53C44"/>
    <w:rsid w:val="00F5525D"/>
    <w:rsid w:val="00F553E4"/>
    <w:rsid w:val="00F55C8E"/>
    <w:rsid w:val="00F571A8"/>
    <w:rsid w:val="00F60ACB"/>
    <w:rsid w:val="00F61CCD"/>
    <w:rsid w:val="00F636EA"/>
    <w:rsid w:val="00F657DE"/>
    <w:rsid w:val="00F71237"/>
    <w:rsid w:val="00F75F74"/>
    <w:rsid w:val="00F7687F"/>
    <w:rsid w:val="00F80915"/>
    <w:rsid w:val="00F816B3"/>
    <w:rsid w:val="00F8254A"/>
    <w:rsid w:val="00F833FB"/>
    <w:rsid w:val="00F85A4F"/>
    <w:rsid w:val="00F87F49"/>
    <w:rsid w:val="00F91025"/>
    <w:rsid w:val="00F94254"/>
    <w:rsid w:val="00F953B9"/>
    <w:rsid w:val="00F96C73"/>
    <w:rsid w:val="00FA017D"/>
    <w:rsid w:val="00FA1968"/>
    <w:rsid w:val="00FA7EC3"/>
    <w:rsid w:val="00FB3B44"/>
    <w:rsid w:val="00FB6391"/>
    <w:rsid w:val="00FC21CC"/>
    <w:rsid w:val="00FC4337"/>
    <w:rsid w:val="00FC7CBB"/>
    <w:rsid w:val="00FC7D0F"/>
    <w:rsid w:val="00FD06AF"/>
    <w:rsid w:val="00FD070C"/>
    <w:rsid w:val="00FD1D22"/>
    <w:rsid w:val="00FD3AEF"/>
    <w:rsid w:val="00FE0148"/>
    <w:rsid w:val="00FE7434"/>
    <w:rsid w:val="00FE79B2"/>
    <w:rsid w:val="00FF082A"/>
    <w:rsid w:val="00FF0F32"/>
    <w:rsid w:val="00FF3B50"/>
    <w:rsid w:val="00FF4C4D"/>
    <w:rsid w:val="00FF62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25C0D4-062F-43E9-9926-BB749BF2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A71"/>
    <w:pPr>
      <w:widowControl w:val="0"/>
      <w:autoSpaceDE w:val="0"/>
      <w:autoSpaceDN w:val="0"/>
      <w:adjustRightInd w:val="0"/>
      <w:jc w:val="both"/>
    </w:pPr>
    <w:rPr>
      <w:rFonts w:eastAsia="Times New Roman" w:cs="Times New Roman"/>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951A71"/>
    <w:rPr>
      <w:rFonts w:ascii="Tahoma" w:hAnsi="Tahoma" w:cs="Tahoma"/>
      <w:sz w:val="16"/>
      <w:szCs w:val="16"/>
    </w:rPr>
  </w:style>
  <w:style w:type="character" w:customStyle="1" w:styleId="TekstbaloniaChar">
    <w:name w:val="Tekst balončića Char"/>
    <w:basedOn w:val="Zadanifontodlomka"/>
    <w:link w:val="Tekstbalonia"/>
    <w:uiPriority w:val="99"/>
    <w:semiHidden/>
    <w:rsid w:val="00951A71"/>
    <w:rPr>
      <w:rFonts w:ascii="Tahoma" w:eastAsia="Times New Roman" w:hAnsi="Tahoma" w:cs="Tahoma"/>
      <w:sz w:val="16"/>
      <w:szCs w:val="16"/>
      <w:lang w:eastAsia="hr-HR"/>
    </w:rPr>
  </w:style>
  <w:style w:type="character" w:styleId="Hiperveza">
    <w:name w:val="Hyperlink"/>
    <w:basedOn w:val="Zadanifontodlomka"/>
    <w:uiPriority w:val="99"/>
    <w:unhideWhenUsed/>
    <w:rsid w:val="00536163"/>
    <w:rPr>
      <w:color w:val="0000FF" w:themeColor="hyperlink"/>
      <w:u w:val="single"/>
    </w:rPr>
  </w:style>
  <w:style w:type="paragraph" w:styleId="Odlomakpopisa">
    <w:name w:val="List Paragraph"/>
    <w:aliases w:val="Paragraph,List Paragraph Red,lp1"/>
    <w:basedOn w:val="Normal"/>
    <w:link w:val="OdlomakpopisaChar"/>
    <w:uiPriority w:val="34"/>
    <w:qFormat/>
    <w:rsid w:val="00FE0148"/>
    <w:pPr>
      <w:widowControl/>
      <w:autoSpaceDE/>
      <w:autoSpaceDN/>
      <w:adjustRightInd/>
      <w:spacing w:after="200" w:line="276" w:lineRule="auto"/>
      <w:ind w:left="720"/>
      <w:contextualSpacing/>
      <w:jc w:val="left"/>
    </w:pPr>
    <w:rPr>
      <w:rFonts w:asciiTheme="minorHAnsi" w:eastAsiaTheme="minorHAnsi" w:hAnsiTheme="minorHAnsi" w:cstheme="minorBidi"/>
      <w:sz w:val="22"/>
      <w:szCs w:val="22"/>
      <w:lang w:eastAsia="en-US"/>
    </w:rPr>
  </w:style>
  <w:style w:type="character" w:styleId="Referencakomentara">
    <w:name w:val="annotation reference"/>
    <w:basedOn w:val="Zadanifontodlomka"/>
    <w:uiPriority w:val="99"/>
    <w:semiHidden/>
    <w:unhideWhenUsed/>
    <w:rsid w:val="00C82A1F"/>
    <w:rPr>
      <w:sz w:val="16"/>
      <w:szCs w:val="16"/>
    </w:rPr>
  </w:style>
  <w:style w:type="paragraph" w:styleId="Tekstkomentara">
    <w:name w:val="annotation text"/>
    <w:aliases w:val="Char2,Comment Text Char Char Char Char Char,Comment Text Char Char Char Char,Comment Text Char Char Char,Comment Text Char Char Char1,Comment Text Char Char Char Char Char Ch, Char2"/>
    <w:basedOn w:val="Normal"/>
    <w:link w:val="TekstkomentaraChar"/>
    <w:uiPriority w:val="99"/>
    <w:unhideWhenUsed/>
    <w:rsid w:val="00C82A1F"/>
    <w:rPr>
      <w:sz w:val="20"/>
      <w:szCs w:val="20"/>
    </w:rPr>
  </w:style>
  <w:style w:type="character" w:customStyle="1" w:styleId="TekstkomentaraChar">
    <w:name w:val="Tekst komentara Char"/>
    <w:aliases w:val="Char2 Char,Comment Text Char Char Char Char Char Char,Comment Text Char Char Char Char Char1,Comment Text Char Char Char Char1,Comment Text Char Char Char1 Char,Comment Text Char Char Char Char Char Ch Char, Char2 Char"/>
    <w:basedOn w:val="Zadanifontodlomka"/>
    <w:link w:val="Tekstkomentara"/>
    <w:uiPriority w:val="99"/>
    <w:rsid w:val="00C82A1F"/>
    <w:rPr>
      <w:rFonts w:eastAsia="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C82A1F"/>
    <w:rPr>
      <w:b/>
      <w:bCs/>
    </w:rPr>
  </w:style>
  <w:style w:type="character" w:customStyle="1" w:styleId="PredmetkomentaraChar">
    <w:name w:val="Predmet komentara Char"/>
    <w:basedOn w:val="TekstkomentaraChar"/>
    <w:link w:val="Predmetkomentara"/>
    <w:uiPriority w:val="99"/>
    <w:semiHidden/>
    <w:rsid w:val="00C82A1F"/>
    <w:rPr>
      <w:rFonts w:eastAsia="Times New Roman" w:cs="Times New Roman"/>
      <w:b/>
      <w:bCs/>
      <w:sz w:val="20"/>
      <w:szCs w:val="20"/>
      <w:lang w:eastAsia="hr-HR"/>
    </w:rPr>
  </w:style>
  <w:style w:type="paragraph" w:customStyle="1" w:styleId="Default">
    <w:name w:val="Default"/>
    <w:rsid w:val="001B46C7"/>
    <w:pPr>
      <w:autoSpaceDE w:val="0"/>
      <w:autoSpaceDN w:val="0"/>
      <w:adjustRightInd w:val="0"/>
    </w:pPr>
    <w:rPr>
      <w:rFonts w:ascii="Times New Roman" w:hAnsi="Times New Roman" w:cs="Times New Roman"/>
      <w:color w:val="000000"/>
      <w:szCs w:val="24"/>
    </w:rPr>
  </w:style>
  <w:style w:type="paragraph" w:styleId="StandardWeb">
    <w:name w:val="Normal (Web)"/>
    <w:basedOn w:val="Normal"/>
    <w:link w:val="StandardWebChar"/>
    <w:uiPriority w:val="99"/>
    <w:unhideWhenUsed/>
    <w:rsid w:val="00094103"/>
    <w:pPr>
      <w:widowControl/>
      <w:autoSpaceDE/>
      <w:autoSpaceDN/>
      <w:adjustRightInd/>
      <w:spacing w:after="150"/>
      <w:jc w:val="left"/>
    </w:pPr>
    <w:rPr>
      <w:rFonts w:ascii="Times New Roman" w:hAnsi="Times New Roman"/>
      <w:lang w:val="en-US" w:eastAsia="en-US"/>
    </w:rPr>
  </w:style>
  <w:style w:type="character" w:customStyle="1" w:styleId="StandardWebChar">
    <w:name w:val="Standard (Web) Char"/>
    <w:basedOn w:val="Zadanifontodlomka"/>
    <w:link w:val="StandardWeb"/>
    <w:uiPriority w:val="99"/>
    <w:rsid w:val="00094103"/>
    <w:rPr>
      <w:rFonts w:ascii="Times New Roman" w:eastAsia="Times New Roman" w:hAnsi="Times New Roman" w:cs="Times New Roman"/>
      <w:szCs w:val="24"/>
      <w:lang w:val="en-US"/>
    </w:rPr>
  </w:style>
  <w:style w:type="paragraph" w:styleId="Zaglavlje">
    <w:name w:val="header"/>
    <w:basedOn w:val="Normal"/>
    <w:link w:val="ZaglavljeChar"/>
    <w:uiPriority w:val="99"/>
    <w:unhideWhenUsed/>
    <w:rsid w:val="00952B63"/>
    <w:pPr>
      <w:tabs>
        <w:tab w:val="center" w:pos="4536"/>
        <w:tab w:val="right" w:pos="9072"/>
      </w:tabs>
    </w:pPr>
  </w:style>
  <w:style w:type="character" w:customStyle="1" w:styleId="ZaglavljeChar">
    <w:name w:val="Zaglavlje Char"/>
    <w:basedOn w:val="Zadanifontodlomka"/>
    <w:link w:val="Zaglavlje"/>
    <w:uiPriority w:val="99"/>
    <w:rsid w:val="00952B63"/>
    <w:rPr>
      <w:rFonts w:eastAsia="Times New Roman" w:cs="Times New Roman"/>
      <w:szCs w:val="24"/>
      <w:lang w:eastAsia="hr-HR"/>
    </w:rPr>
  </w:style>
  <w:style w:type="paragraph" w:styleId="Podnoje">
    <w:name w:val="footer"/>
    <w:basedOn w:val="Normal"/>
    <w:link w:val="PodnojeChar"/>
    <w:uiPriority w:val="99"/>
    <w:unhideWhenUsed/>
    <w:rsid w:val="00952B63"/>
    <w:pPr>
      <w:tabs>
        <w:tab w:val="center" w:pos="4536"/>
        <w:tab w:val="right" w:pos="9072"/>
      </w:tabs>
    </w:pPr>
  </w:style>
  <w:style w:type="character" w:customStyle="1" w:styleId="PodnojeChar">
    <w:name w:val="Podnožje Char"/>
    <w:basedOn w:val="Zadanifontodlomka"/>
    <w:link w:val="Podnoje"/>
    <w:uiPriority w:val="99"/>
    <w:rsid w:val="00952B63"/>
    <w:rPr>
      <w:rFonts w:eastAsia="Times New Roman" w:cs="Times New Roman"/>
      <w:szCs w:val="24"/>
      <w:lang w:eastAsia="hr-HR"/>
    </w:rPr>
  </w:style>
  <w:style w:type="paragraph" w:styleId="Naslov">
    <w:name w:val="Title"/>
    <w:basedOn w:val="Normal"/>
    <w:next w:val="Normal"/>
    <w:link w:val="NaslovChar"/>
    <w:qFormat/>
    <w:rsid w:val="001C2CDA"/>
    <w:pPr>
      <w:jc w:val="left"/>
      <w:outlineLvl w:val="0"/>
    </w:pPr>
    <w:rPr>
      <w:bCs/>
      <w:noProof/>
      <w:kern w:val="28"/>
    </w:rPr>
  </w:style>
  <w:style w:type="character" w:customStyle="1" w:styleId="NaslovChar">
    <w:name w:val="Naslov Char"/>
    <w:basedOn w:val="Zadanifontodlomka"/>
    <w:link w:val="Naslov"/>
    <w:rsid w:val="001C2CDA"/>
    <w:rPr>
      <w:rFonts w:eastAsia="Times New Roman" w:cs="Times New Roman"/>
      <w:bCs/>
      <w:noProof/>
      <w:kern w:val="28"/>
      <w:szCs w:val="24"/>
      <w:lang w:eastAsia="hr-HR"/>
    </w:rPr>
  </w:style>
  <w:style w:type="character" w:customStyle="1" w:styleId="OdlomakpopisaChar">
    <w:name w:val="Odlomak popisa Char"/>
    <w:aliases w:val="Paragraph Char,List Paragraph Red Char,lp1 Char"/>
    <w:link w:val="Odlomakpopisa"/>
    <w:uiPriority w:val="34"/>
    <w:locked/>
    <w:rsid w:val="00B25F77"/>
    <w:rPr>
      <w:rFonts w:asciiTheme="minorHAnsi" w:hAnsiTheme="minorHAnsi"/>
      <w:sz w:val="22"/>
    </w:rPr>
  </w:style>
  <w:style w:type="paragraph" w:styleId="Obinitekst">
    <w:name w:val="Plain Text"/>
    <w:basedOn w:val="Normal"/>
    <w:link w:val="ObinitekstChar"/>
    <w:uiPriority w:val="99"/>
    <w:semiHidden/>
    <w:unhideWhenUsed/>
    <w:rsid w:val="00C5572F"/>
    <w:pPr>
      <w:widowControl/>
      <w:autoSpaceDE/>
      <w:autoSpaceDN/>
      <w:adjustRightInd/>
      <w:jc w:val="left"/>
    </w:pPr>
    <w:rPr>
      <w:rFonts w:ascii="Calibri" w:eastAsiaTheme="minorHAnsi" w:hAnsi="Calibri" w:cstheme="minorBidi"/>
      <w:sz w:val="22"/>
      <w:szCs w:val="21"/>
      <w:lang w:eastAsia="en-US"/>
    </w:rPr>
  </w:style>
  <w:style w:type="character" w:customStyle="1" w:styleId="ObinitekstChar">
    <w:name w:val="Obični tekst Char"/>
    <w:basedOn w:val="Zadanifontodlomka"/>
    <w:link w:val="Obinitekst"/>
    <w:uiPriority w:val="99"/>
    <w:semiHidden/>
    <w:rsid w:val="00C5572F"/>
    <w:rPr>
      <w:rFonts w:ascii="Calibri" w:hAnsi="Calibri"/>
      <w:sz w:val="22"/>
      <w:szCs w:val="21"/>
    </w:rPr>
  </w:style>
  <w:style w:type="paragraph" w:styleId="Tijeloteksta">
    <w:name w:val="Body Text"/>
    <w:basedOn w:val="Normal"/>
    <w:link w:val="TijelotekstaChar"/>
    <w:uiPriority w:val="1"/>
    <w:qFormat/>
    <w:rsid w:val="00F61CCD"/>
    <w:pPr>
      <w:jc w:val="left"/>
    </w:pPr>
    <w:rPr>
      <w:rFonts w:ascii="Bookman Old Style" w:eastAsiaTheme="minorEastAsia" w:hAnsi="Bookman Old Style" w:cs="Bookman Old Style"/>
    </w:rPr>
  </w:style>
  <w:style w:type="character" w:customStyle="1" w:styleId="TijelotekstaChar">
    <w:name w:val="Tijelo teksta Char"/>
    <w:basedOn w:val="Zadanifontodlomka"/>
    <w:link w:val="Tijeloteksta"/>
    <w:uiPriority w:val="1"/>
    <w:rsid w:val="00F61CCD"/>
    <w:rPr>
      <w:rFonts w:ascii="Bookman Old Style" w:eastAsiaTheme="minorEastAsia" w:hAnsi="Bookman Old Style" w:cs="Bookman Old Style"/>
      <w:szCs w:val="24"/>
      <w:lang w:eastAsia="hr-HR"/>
    </w:rPr>
  </w:style>
  <w:style w:type="paragraph" w:customStyle="1" w:styleId="StilBulletCrtica">
    <w:name w:val="StilBulletCrtica"/>
    <w:basedOn w:val="Odlomakpopisa"/>
    <w:next w:val="Normal"/>
    <w:link w:val="StilBulletCrticaChar"/>
    <w:qFormat/>
    <w:rsid w:val="00F61CCD"/>
    <w:pPr>
      <w:numPr>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autoSpaceDE w:val="0"/>
      <w:autoSpaceDN w:val="0"/>
      <w:adjustRightInd w:val="0"/>
      <w:spacing w:after="0" w:line="240" w:lineRule="auto"/>
      <w:ind w:left="1134" w:hanging="567"/>
      <w:jc w:val="both"/>
      <w:textAlignment w:val="baseline"/>
    </w:pPr>
    <w:rPr>
      <w:rFonts w:ascii="Arial" w:eastAsia="Times New Roman" w:hAnsi="Arial" w:cs="Times New Roman"/>
      <w:sz w:val="24"/>
      <w:szCs w:val="20"/>
      <w:lang w:eastAsia="hr-HR"/>
    </w:rPr>
  </w:style>
  <w:style w:type="character" w:customStyle="1" w:styleId="StilBulletCrticaChar">
    <w:name w:val="StilBulletCrtica Char"/>
    <w:link w:val="StilBulletCrtica"/>
    <w:rsid w:val="00F61CCD"/>
    <w:rPr>
      <w:rFonts w:eastAsia="Times New Roman" w:cs="Times New Roman"/>
      <w:szCs w:val="20"/>
      <w:lang w:eastAsia="hr-HR"/>
    </w:rPr>
  </w:style>
  <w:style w:type="table" w:styleId="Reetkatablice">
    <w:name w:val="Table Grid"/>
    <w:basedOn w:val="Obinatablica"/>
    <w:rsid w:val="00A437C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AE7243"/>
    <w:rPr>
      <w:rFonts w:eastAsia="Times New Roman" w:cs="Times New Roman"/>
      <w:szCs w:val="24"/>
      <w:lang w:eastAsia="hr-HR"/>
    </w:rPr>
  </w:style>
  <w:style w:type="paragraph" w:styleId="Tekstfusnote">
    <w:name w:val="footnote text"/>
    <w:basedOn w:val="Normal"/>
    <w:link w:val="TekstfusnoteChar"/>
    <w:uiPriority w:val="99"/>
    <w:semiHidden/>
    <w:unhideWhenUsed/>
    <w:rsid w:val="00DF6B79"/>
    <w:rPr>
      <w:sz w:val="20"/>
      <w:szCs w:val="20"/>
    </w:rPr>
  </w:style>
  <w:style w:type="character" w:customStyle="1" w:styleId="TekstfusnoteChar">
    <w:name w:val="Tekst fusnote Char"/>
    <w:basedOn w:val="Zadanifontodlomka"/>
    <w:link w:val="Tekstfusnote"/>
    <w:uiPriority w:val="99"/>
    <w:semiHidden/>
    <w:rsid w:val="00DF6B79"/>
    <w:rPr>
      <w:rFonts w:eastAsia="Times New Roman" w:cs="Times New Roman"/>
      <w:sz w:val="20"/>
      <w:szCs w:val="20"/>
      <w:lang w:eastAsia="hr-HR"/>
    </w:rPr>
  </w:style>
  <w:style w:type="character" w:styleId="Referencafusnote">
    <w:name w:val="footnote reference"/>
    <w:rsid w:val="00DF6B79"/>
    <w:rPr>
      <w:vertAlign w:val="superscript"/>
    </w:rPr>
  </w:style>
  <w:style w:type="table" w:customStyle="1" w:styleId="Reetkatablice1">
    <w:name w:val="Rešetka tablice1"/>
    <w:basedOn w:val="Obinatablica"/>
    <w:next w:val="Reetkatablice"/>
    <w:uiPriority w:val="39"/>
    <w:rsid w:val="000567E0"/>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EC7A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7380">
      <w:bodyDiv w:val="1"/>
      <w:marLeft w:val="0"/>
      <w:marRight w:val="0"/>
      <w:marTop w:val="0"/>
      <w:marBottom w:val="0"/>
      <w:divBdr>
        <w:top w:val="none" w:sz="0" w:space="0" w:color="auto"/>
        <w:left w:val="none" w:sz="0" w:space="0" w:color="auto"/>
        <w:bottom w:val="none" w:sz="0" w:space="0" w:color="auto"/>
        <w:right w:val="none" w:sz="0" w:space="0" w:color="auto"/>
      </w:divBdr>
    </w:div>
    <w:div w:id="99885707">
      <w:bodyDiv w:val="1"/>
      <w:marLeft w:val="0"/>
      <w:marRight w:val="0"/>
      <w:marTop w:val="0"/>
      <w:marBottom w:val="0"/>
      <w:divBdr>
        <w:top w:val="none" w:sz="0" w:space="0" w:color="auto"/>
        <w:left w:val="none" w:sz="0" w:space="0" w:color="auto"/>
        <w:bottom w:val="none" w:sz="0" w:space="0" w:color="auto"/>
        <w:right w:val="none" w:sz="0" w:space="0" w:color="auto"/>
      </w:divBdr>
    </w:div>
    <w:div w:id="410005828">
      <w:bodyDiv w:val="1"/>
      <w:marLeft w:val="0"/>
      <w:marRight w:val="0"/>
      <w:marTop w:val="0"/>
      <w:marBottom w:val="0"/>
      <w:divBdr>
        <w:top w:val="none" w:sz="0" w:space="0" w:color="auto"/>
        <w:left w:val="none" w:sz="0" w:space="0" w:color="auto"/>
        <w:bottom w:val="none" w:sz="0" w:space="0" w:color="auto"/>
        <w:right w:val="none" w:sz="0" w:space="0" w:color="auto"/>
      </w:divBdr>
    </w:div>
    <w:div w:id="918439171">
      <w:bodyDiv w:val="1"/>
      <w:marLeft w:val="0"/>
      <w:marRight w:val="0"/>
      <w:marTop w:val="0"/>
      <w:marBottom w:val="0"/>
      <w:divBdr>
        <w:top w:val="none" w:sz="0" w:space="0" w:color="auto"/>
        <w:left w:val="none" w:sz="0" w:space="0" w:color="auto"/>
        <w:bottom w:val="none" w:sz="0" w:space="0" w:color="auto"/>
        <w:right w:val="none" w:sz="0" w:space="0" w:color="auto"/>
      </w:divBdr>
    </w:div>
    <w:div w:id="1277443295">
      <w:bodyDiv w:val="1"/>
      <w:marLeft w:val="0"/>
      <w:marRight w:val="0"/>
      <w:marTop w:val="0"/>
      <w:marBottom w:val="0"/>
      <w:divBdr>
        <w:top w:val="none" w:sz="0" w:space="0" w:color="auto"/>
        <w:left w:val="none" w:sz="0" w:space="0" w:color="auto"/>
        <w:bottom w:val="none" w:sz="0" w:space="0" w:color="auto"/>
        <w:right w:val="none" w:sz="0" w:space="0" w:color="auto"/>
      </w:divBdr>
    </w:div>
    <w:div w:id="1649356127">
      <w:bodyDiv w:val="1"/>
      <w:marLeft w:val="0"/>
      <w:marRight w:val="0"/>
      <w:marTop w:val="0"/>
      <w:marBottom w:val="0"/>
      <w:divBdr>
        <w:top w:val="none" w:sz="0" w:space="0" w:color="auto"/>
        <w:left w:val="none" w:sz="0" w:space="0" w:color="auto"/>
        <w:bottom w:val="none" w:sz="0" w:space="0" w:color="auto"/>
        <w:right w:val="none" w:sz="0" w:space="0" w:color="auto"/>
      </w:divBdr>
    </w:div>
    <w:div w:id="212469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osipa.marakovic@revizija.hr" TargetMode="External"/><Relationship Id="rId4" Type="http://schemas.openxmlformats.org/officeDocument/2006/relationships/settings" Target="settings.xml"/><Relationship Id="rId9" Type="http://schemas.openxmlformats.org/officeDocument/2006/relationships/hyperlink" Target="http://www.revizij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54462-D7BE-42B4-B705-8379129FA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2169</Words>
  <Characters>12364</Characters>
  <Application>Microsoft Office Word</Application>
  <DocSecurity>0</DocSecurity>
  <Lines>103</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biserka coh mikulec</dc:creator>
  <cp:lastModifiedBy>Josipa Maraković</cp:lastModifiedBy>
  <cp:revision>2</cp:revision>
  <cp:lastPrinted>2023-06-14T08:27:00Z</cp:lastPrinted>
  <dcterms:created xsi:type="dcterms:W3CDTF">2025-09-26T06:24:00Z</dcterms:created>
  <dcterms:modified xsi:type="dcterms:W3CDTF">2025-09-26T06:24:00Z</dcterms:modified>
</cp:coreProperties>
</file>